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D03" w:rsidRDefault="00716D03" w:rsidP="00716D03">
      <w:pPr>
        <w:spacing w:after="0" w:line="360" w:lineRule="auto"/>
        <w:rPr>
          <w:rFonts w:ascii="Times New Roman" w:hAnsi="Times New Roman" w:cs="Times New Roman"/>
          <w:sz w:val="24"/>
          <w:szCs w:val="24"/>
          <w:lang w:val="en-GB"/>
        </w:rPr>
      </w:pPr>
      <w:r w:rsidRPr="007B32DA">
        <w:rPr>
          <w:rFonts w:ascii="Times New Roman" w:hAnsi="Times New Roman" w:cs="Times New Roman"/>
          <w:sz w:val="24"/>
          <w:szCs w:val="24"/>
          <w:lang w:val="en-GB"/>
        </w:rPr>
        <w:t xml:space="preserve">Country: </w:t>
      </w:r>
      <w:r>
        <w:rPr>
          <w:rFonts w:ascii="Times New Roman" w:hAnsi="Times New Roman" w:cs="Times New Roman"/>
          <w:color w:val="222222"/>
          <w:sz w:val="24"/>
          <w:szCs w:val="24"/>
          <w:shd w:val="clear" w:color="auto" w:fill="FFFFFF"/>
          <w:lang w:val="en-GB"/>
        </w:rPr>
        <w:t>Central African Republic</w:t>
      </w:r>
      <w:r w:rsidRPr="007B32DA">
        <w:rPr>
          <w:rFonts w:ascii="Times New Roman" w:hAnsi="Times New Roman" w:cs="Times New Roman"/>
          <w:sz w:val="24"/>
          <w:szCs w:val="24"/>
          <w:lang w:val="en-GB"/>
        </w:rPr>
        <w:t xml:space="preserve">                                                     </w:t>
      </w:r>
    </w:p>
    <w:p w:rsidR="00716D03" w:rsidRDefault="00716D03" w:rsidP="00716D03">
      <w:pPr>
        <w:spacing w:after="0" w:line="360" w:lineRule="auto"/>
        <w:rPr>
          <w:rFonts w:ascii="Times New Roman" w:hAnsi="Times New Roman" w:cs="Times New Roman"/>
          <w:noProof/>
          <w:sz w:val="24"/>
          <w:szCs w:val="24"/>
          <w:lang w:val="en-GB"/>
        </w:rPr>
      </w:pPr>
      <w:r w:rsidRPr="007B32DA">
        <w:rPr>
          <w:rFonts w:ascii="Times New Roman" w:hAnsi="Times New Roman" w:cs="Times New Roman"/>
          <w:sz w:val="24"/>
          <w:szCs w:val="24"/>
          <w:lang w:val="en-GB"/>
        </w:rPr>
        <w:t xml:space="preserve">Committee: </w:t>
      </w:r>
      <w:r w:rsidRPr="00F413CA">
        <w:rPr>
          <w:rFonts w:ascii="Times New Roman" w:hAnsi="Times New Roman" w:cs="Times New Roman"/>
          <w:bCs/>
          <w:color w:val="202122"/>
          <w:sz w:val="24"/>
          <w:szCs w:val="24"/>
          <w:shd w:val="clear" w:color="auto" w:fill="FFFFFF"/>
          <w:lang w:val="en-GB"/>
        </w:rPr>
        <w:t>Food and Agriculture Organization of the United Nations</w:t>
      </w:r>
      <w:r>
        <w:rPr>
          <w:rFonts w:ascii="Times New Roman" w:hAnsi="Times New Roman" w:cs="Times New Roman"/>
          <w:color w:val="1F1F1F"/>
          <w:sz w:val="24"/>
          <w:szCs w:val="24"/>
          <w:shd w:val="clear" w:color="auto" w:fill="FFFFFF"/>
          <w:lang w:val="en-GB"/>
        </w:rPr>
        <w:t xml:space="preserve"> (FAO)</w:t>
      </w:r>
    </w:p>
    <w:p w:rsidR="00716D03" w:rsidRDefault="00716D03" w:rsidP="00716D03">
      <w:pPr>
        <w:spacing w:after="0" w:line="360" w:lineRule="auto"/>
        <w:rPr>
          <w:rFonts w:ascii="Times New Roman" w:hAnsi="Times New Roman" w:cs="Times New Roman"/>
          <w:color w:val="222222"/>
          <w:sz w:val="24"/>
          <w:szCs w:val="24"/>
          <w:shd w:val="clear" w:color="auto" w:fill="FFFFFF"/>
          <w:lang w:val="en-GB"/>
        </w:rPr>
      </w:pPr>
      <w:r>
        <w:rPr>
          <w:rFonts w:ascii="Times New Roman" w:hAnsi="Times New Roman" w:cs="Times New Roman"/>
          <w:sz w:val="24"/>
          <w:szCs w:val="24"/>
          <w:lang w:val="en-GB"/>
        </w:rPr>
        <w:t>Topic (</w:t>
      </w:r>
      <w:r w:rsidRPr="007B32DA">
        <w:rPr>
          <w:rFonts w:ascii="Times New Roman" w:hAnsi="Times New Roman" w:cs="Times New Roman"/>
          <w:sz w:val="24"/>
          <w:szCs w:val="24"/>
          <w:lang w:val="en-GB"/>
        </w:rPr>
        <w:t>Agenda Item</w:t>
      </w:r>
      <w:r>
        <w:rPr>
          <w:rFonts w:ascii="Times New Roman" w:hAnsi="Times New Roman" w:cs="Times New Roman"/>
          <w:sz w:val="24"/>
          <w:szCs w:val="24"/>
          <w:lang w:val="en-GB"/>
        </w:rPr>
        <w:t>)</w:t>
      </w:r>
      <w:r w:rsidRPr="007B32DA">
        <w:rPr>
          <w:rFonts w:ascii="Times New Roman" w:hAnsi="Times New Roman" w:cs="Times New Roman"/>
          <w:sz w:val="24"/>
          <w:szCs w:val="24"/>
          <w:lang w:val="en-GB"/>
        </w:rPr>
        <w:t>:</w:t>
      </w:r>
      <w:r w:rsidRPr="007B32DA">
        <w:rPr>
          <w:rFonts w:ascii="Times New Roman" w:hAnsi="Times New Roman" w:cs="Times New Roman"/>
          <w:color w:val="222222"/>
          <w:sz w:val="24"/>
          <w:szCs w:val="24"/>
          <w:shd w:val="clear" w:color="auto" w:fill="FFFFFF"/>
          <w:lang w:val="en-GB"/>
        </w:rPr>
        <w:t xml:space="preserve"> </w:t>
      </w:r>
      <w:r w:rsidRPr="00F413CA">
        <w:rPr>
          <w:rFonts w:ascii="Times New Roman" w:hAnsi="Times New Roman" w:cs="Times New Roman"/>
          <w:color w:val="222222"/>
          <w:sz w:val="24"/>
          <w:szCs w:val="24"/>
          <w:shd w:val="clear" w:color="auto" w:fill="FFFFFF"/>
          <w:lang w:val="en-GB"/>
        </w:rPr>
        <w:t>Combating Food Insecurity and the Risk of Famine</w:t>
      </w:r>
    </w:p>
    <w:p w:rsidR="00716D03" w:rsidRDefault="00716D03" w:rsidP="00716D03">
      <w:pPr>
        <w:spacing w:after="0"/>
        <w:rPr>
          <w:rFonts w:ascii="Times New Roman" w:hAnsi="Times New Roman" w:cs="Times New Roman"/>
          <w:color w:val="222222"/>
          <w:sz w:val="24"/>
          <w:szCs w:val="24"/>
          <w:shd w:val="clear" w:color="auto" w:fill="FFFFFF"/>
          <w:lang w:val="en-GB"/>
        </w:rPr>
      </w:pPr>
      <w:r>
        <w:rPr>
          <w:rFonts w:ascii="Times New Roman" w:hAnsi="Times New Roman" w:cs="Times New Roman"/>
          <w:noProof/>
          <w:color w:val="222222"/>
          <w:sz w:val="24"/>
          <w:szCs w:val="24"/>
          <w:shd w:val="clear" w:color="auto" w:fill="FFFFFF"/>
        </w:rPr>
        <w:lastRenderedPageBreak/>
        <w:drawing>
          <wp:inline distT="0" distB="0" distL="0" distR="0">
            <wp:extent cx="2616634" cy="1332689"/>
            <wp:effectExtent l="19050" t="0" r="0" b="0"/>
            <wp:docPr id="1" name="0 Resim" descr="central african republ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ral african republic.png"/>
                    <pic:cNvPicPr/>
                  </pic:nvPicPr>
                  <pic:blipFill>
                    <a:blip r:embed="rId4"/>
                    <a:stretch>
                      <a:fillRect/>
                    </a:stretch>
                  </pic:blipFill>
                  <pic:spPr>
                    <a:xfrm>
                      <a:off x="0" y="0"/>
                      <a:ext cx="2619375" cy="1334085"/>
                    </a:xfrm>
                    <a:prstGeom prst="rect">
                      <a:avLst/>
                    </a:prstGeom>
                  </pic:spPr>
                </pic:pic>
              </a:graphicData>
            </a:graphic>
          </wp:inline>
        </w:drawing>
      </w:r>
    </w:p>
    <w:p w:rsidR="00716D03" w:rsidRDefault="00716D03">
      <w:pPr>
        <w:sectPr w:rsidR="00716D03" w:rsidSect="00716D03">
          <w:pgSz w:w="11906" w:h="16838"/>
          <w:pgMar w:top="1417" w:right="1417" w:bottom="1417" w:left="1417" w:header="708" w:footer="708" w:gutter="0"/>
          <w:cols w:num="2" w:space="708"/>
          <w:docGrid w:linePitch="360"/>
        </w:sectPr>
      </w:pPr>
    </w:p>
    <w:p w:rsidR="00000000" w:rsidRDefault="00B3156B"/>
    <w:p w:rsidR="00716D03" w:rsidRDefault="00587380" w:rsidP="00716D03">
      <w:pPr>
        <w:jc w:val="both"/>
        <w:rPr>
          <w:rFonts w:ascii="Times New Roman" w:hAnsi="Times New Roman" w:cs="Times New Roman"/>
          <w:sz w:val="24"/>
          <w:szCs w:val="24"/>
          <w:lang w:val="en-GB"/>
        </w:rPr>
      </w:pPr>
      <w:r w:rsidRPr="00587380">
        <w:rPr>
          <w:rFonts w:ascii="Times New Roman" w:hAnsi="Times New Roman" w:cs="Times New Roman"/>
          <w:sz w:val="24"/>
          <w:szCs w:val="24"/>
          <w:lang w:val="en-GB"/>
        </w:rPr>
        <w:t>In the middle of Africa, at the nexus of several ethnic and linguistic groups, lies the Central African Republic (CAR), a state that has always been weak. Its entry into trade networks around the early 1700s encouraged intense competition among its population, making it one of the last regions of Sub-Saharan Africa to be drawn into the global economy.</w:t>
      </w:r>
      <w:r>
        <w:rPr>
          <w:rFonts w:ascii="Times New Roman" w:hAnsi="Times New Roman" w:cs="Times New Roman"/>
          <w:sz w:val="24"/>
          <w:szCs w:val="24"/>
          <w:lang w:val="en-GB"/>
        </w:rPr>
        <w:t xml:space="preserve"> </w:t>
      </w:r>
      <w:r w:rsidR="00716D03" w:rsidRPr="00716D03">
        <w:rPr>
          <w:rFonts w:ascii="Times New Roman" w:hAnsi="Times New Roman" w:cs="Times New Roman"/>
          <w:sz w:val="24"/>
          <w:szCs w:val="24"/>
          <w:lang w:val="en-GB"/>
        </w:rPr>
        <w:t>The Central African Republic is a place in the centre of Africa. Its neighbours are Chad, South Sudan, Sudan, Congo, Democratic Republic of Congo and Cameroon. Bangui, the Capital of the Central African Republic. Its population is 5,579 million (five point five hundred seventy-nine million)</w:t>
      </w:r>
      <w:r w:rsidR="00716D03">
        <w:rPr>
          <w:rFonts w:ascii="Times New Roman" w:hAnsi="Times New Roman" w:cs="Times New Roman"/>
          <w:sz w:val="24"/>
          <w:szCs w:val="24"/>
          <w:lang w:val="en-GB"/>
        </w:rPr>
        <w:t xml:space="preserve"> </w:t>
      </w:r>
      <w:r w:rsidR="00716D03" w:rsidRPr="00716D03">
        <w:rPr>
          <w:rFonts w:ascii="Times New Roman" w:hAnsi="Times New Roman" w:cs="Times New Roman"/>
          <w:sz w:val="24"/>
          <w:szCs w:val="24"/>
          <w:lang w:val="en-GB"/>
        </w:rPr>
        <w:t>(2022). Its area is 623,000 km² (six hundred twenty three thousand square kilometres). The currency of the Central African Republic is the Central African CFA Franc. Its government is the Republic. Their economic power is low.</w:t>
      </w:r>
      <w:r w:rsidRPr="00587380">
        <w:t xml:space="preserve"> </w:t>
      </w:r>
      <w:r w:rsidR="00434238" w:rsidRPr="00577756">
        <w:rPr>
          <w:rFonts w:ascii="Times New Roman" w:hAnsi="Times New Roman" w:cs="Times New Roman"/>
          <w:sz w:val="24"/>
          <w:szCs w:val="24"/>
          <w:lang w:val="en-GB"/>
        </w:rPr>
        <w:t>Strong agricultural performance countered the COVID-19 decline, although the blockade of the Bangui-Douala corridor decreased activity and tax collection.</w:t>
      </w:r>
    </w:p>
    <w:p w:rsidR="00577756" w:rsidRDefault="003C418D" w:rsidP="00716D03">
      <w:pPr>
        <w:jc w:val="both"/>
        <w:rPr>
          <w:rFonts w:ascii="Times New Roman" w:hAnsi="Times New Roman" w:cs="Times New Roman"/>
          <w:sz w:val="24"/>
          <w:szCs w:val="24"/>
          <w:lang w:val="en-GB"/>
        </w:rPr>
      </w:pPr>
      <w:r w:rsidRPr="003C418D">
        <w:rPr>
          <w:rFonts w:ascii="Times New Roman" w:hAnsi="Times New Roman" w:cs="Times New Roman"/>
          <w:sz w:val="24"/>
          <w:szCs w:val="24"/>
          <w:lang w:val="en-GB"/>
        </w:rPr>
        <w:t xml:space="preserve">Food insecurity and hunger around the world are not new issues; since 2014, they have both been rising annually. But due to the COVID-19 pandemic, climate change, and economic downturns, the anticipated rise in world hunger in 2020 was more than the cumulative growth over the previous five years. </w:t>
      </w:r>
      <w:r w:rsidR="00577756" w:rsidRPr="003C418D">
        <w:rPr>
          <w:rFonts w:ascii="Times New Roman" w:hAnsi="Times New Roman" w:cs="Times New Roman"/>
          <w:sz w:val="24"/>
          <w:szCs w:val="24"/>
          <w:lang w:val="en-GB"/>
        </w:rPr>
        <w:t xml:space="preserve">In average, 61.8 percent of people experienced acute food insecurity between 2019 and 21. </w:t>
      </w:r>
      <w:proofErr w:type="gramStart"/>
      <w:r w:rsidR="00577756" w:rsidRPr="003C418D">
        <w:rPr>
          <w:rFonts w:ascii="Times New Roman" w:hAnsi="Times New Roman" w:cs="Times New Roman"/>
          <w:sz w:val="24"/>
          <w:szCs w:val="24"/>
          <w:lang w:val="en-GB"/>
        </w:rPr>
        <w:t>The Food and Agriculture Organization of the United Nations (FAO) forecasts that between April and August 2022, 2.2 million people, or 44 percent of the population, suffered heightened levels of acute food insecurity based on the Integrated Food Security Phase Classification.</w:t>
      </w:r>
      <w:proofErr w:type="gramEnd"/>
      <w:r w:rsidR="00577756" w:rsidRPr="003C418D">
        <w:rPr>
          <w:rFonts w:ascii="Times New Roman" w:hAnsi="Times New Roman" w:cs="Times New Roman"/>
          <w:sz w:val="24"/>
          <w:szCs w:val="24"/>
          <w:lang w:val="en-GB"/>
        </w:rPr>
        <w:t xml:space="preserve"> Most of those impacted are from rural areas and make their living mostly from agriculture. The Central African Republic's high level of food insecurity hinders the nation's long-term economic growth. Future generations may bear a heavy financial burden due to lost economic possibilities caused by food insecurity and malnutrition (FAO and OECD 2014). Since over half of the population does not have access to enough food, there is a chance that school dropout rates among children in coping households in the impacted areas would </w:t>
      </w:r>
      <w:r w:rsidRPr="003C418D">
        <w:rPr>
          <w:rFonts w:ascii="Times New Roman" w:hAnsi="Times New Roman" w:cs="Times New Roman"/>
          <w:sz w:val="24"/>
          <w:szCs w:val="24"/>
          <w:lang w:val="en-GB"/>
        </w:rPr>
        <w:t>raise</w:t>
      </w:r>
      <w:r w:rsidR="00577756" w:rsidRPr="003C418D">
        <w:rPr>
          <w:rFonts w:ascii="Times New Roman" w:hAnsi="Times New Roman" w:cs="Times New Roman"/>
          <w:sz w:val="24"/>
          <w:szCs w:val="24"/>
          <w:lang w:val="en-GB"/>
        </w:rPr>
        <w:t>. This would have long-term detrimental repercussions on the productivity of the upcoming worker generation.</w:t>
      </w:r>
    </w:p>
    <w:p w:rsidR="003C418D" w:rsidRPr="003C418D" w:rsidRDefault="003C418D" w:rsidP="00716D03">
      <w:pPr>
        <w:jc w:val="both"/>
        <w:rPr>
          <w:rFonts w:ascii="Times New Roman" w:hAnsi="Times New Roman" w:cs="Times New Roman"/>
          <w:sz w:val="24"/>
          <w:szCs w:val="24"/>
          <w:lang w:val="en-GB"/>
        </w:rPr>
      </w:pPr>
      <w:r w:rsidRPr="003C418D">
        <w:rPr>
          <w:rFonts w:ascii="Times New Roman" w:hAnsi="Times New Roman" w:cs="Times New Roman"/>
          <w:sz w:val="24"/>
          <w:szCs w:val="24"/>
          <w:lang w:val="en-GB"/>
        </w:rPr>
        <w:t>One thing is certain as the international development and humanitarian sectors work to mitigate the effects of these crises on the most vulnerable people on the planet: in the absence of immediate action, the risk of famine will rise, global food insecurity will probably deepen, and more people will perish. Time is of the essence.</w:t>
      </w:r>
      <w:r w:rsidRPr="003C418D">
        <w:t xml:space="preserve"> </w:t>
      </w:r>
      <w:r w:rsidRPr="003C418D">
        <w:rPr>
          <w:rFonts w:ascii="Times New Roman" w:hAnsi="Times New Roman" w:cs="Times New Roman"/>
          <w:sz w:val="24"/>
          <w:szCs w:val="24"/>
          <w:lang w:val="en-GB"/>
        </w:rPr>
        <w:t>The advocacy division of Interaction that addresses development and humanitarian concerns pertaining to hunger and malnutrition is called the Food Security, Nutrition, and Agriculture Working Group.</w:t>
      </w:r>
    </w:p>
    <w:p w:rsidR="00434238" w:rsidRDefault="00042C98" w:rsidP="00042C98">
      <w:pPr>
        <w:jc w:val="center"/>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REFERENCES</w:t>
      </w:r>
    </w:p>
    <w:p w:rsidR="00042C98" w:rsidRDefault="00042C98" w:rsidP="00042C98">
      <w:pPr>
        <w:rPr>
          <w:rFonts w:ascii="Times New Roman" w:hAnsi="Times New Roman" w:cs="Times New Roman"/>
          <w:b/>
          <w:sz w:val="24"/>
          <w:szCs w:val="24"/>
          <w:lang w:val="en-GB"/>
        </w:rPr>
      </w:pPr>
      <w:hyperlink r:id="rId5" w:history="1">
        <w:r w:rsidRPr="00F2747B">
          <w:rPr>
            <w:rStyle w:val="Kpr"/>
            <w:rFonts w:ascii="Times New Roman" w:hAnsi="Times New Roman" w:cs="Times New Roman"/>
            <w:b/>
            <w:sz w:val="24"/>
            <w:szCs w:val="24"/>
            <w:lang w:val="en-GB"/>
          </w:rPr>
          <w:t>https://www.cia.gov/the-world-factbook/countries/central-african-republic/#introduction</w:t>
        </w:r>
      </w:hyperlink>
    </w:p>
    <w:p w:rsidR="00042C98" w:rsidRDefault="00042C98" w:rsidP="00042C98">
      <w:pPr>
        <w:rPr>
          <w:rFonts w:ascii="Times New Roman" w:hAnsi="Times New Roman" w:cs="Times New Roman"/>
          <w:b/>
          <w:sz w:val="24"/>
          <w:szCs w:val="24"/>
          <w:lang w:val="en-GB"/>
        </w:rPr>
      </w:pPr>
      <w:hyperlink r:id="rId6" w:history="1">
        <w:r w:rsidRPr="00F2747B">
          <w:rPr>
            <w:rStyle w:val="Kpr"/>
            <w:rFonts w:ascii="Times New Roman" w:hAnsi="Times New Roman" w:cs="Times New Roman"/>
            <w:b/>
            <w:sz w:val="24"/>
            <w:szCs w:val="24"/>
            <w:lang w:val="en-GB"/>
          </w:rPr>
          <w:t>https://delegatepal.com/</w:t>
        </w:r>
      </w:hyperlink>
    </w:p>
    <w:p w:rsidR="00042C98" w:rsidRDefault="00042C98" w:rsidP="00042C98">
      <w:pPr>
        <w:rPr>
          <w:rFonts w:ascii="Times New Roman" w:hAnsi="Times New Roman" w:cs="Times New Roman"/>
          <w:b/>
          <w:sz w:val="24"/>
          <w:szCs w:val="24"/>
          <w:lang w:val="en-GB"/>
        </w:rPr>
      </w:pPr>
      <w:hyperlink r:id="rId7" w:history="1">
        <w:r w:rsidRPr="00F2747B">
          <w:rPr>
            <w:rStyle w:val="Kpr"/>
            <w:rFonts w:ascii="Times New Roman" w:hAnsi="Times New Roman" w:cs="Times New Roman"/>
            <w:b/>
            <w:sz w:val="24"/>
            <w:szCs w:val="24"/>
            <w:lang w:val="en-GB"/>
          </w:rPr>
          <w:t>https://www.interaction.org/global-situation-report-2021/famine-risk-prevention/</w:t>
        </w:r>
      </w:hyperlink>
    </w:p>
    <w:p w:rsidR="00042C98" w:rsidRDefault="00773D64" w:rsidP="00042C98">
      <w:pPr>
        <w:rPr>
          <w:rFonts w:ascii="Times New Roman" w:hAnsi="Times New Roman" w:cs="Times New Roman"/>
          <w:b/>
          <w:sz w:val="24"/>
          <w:szCs w:val="24"/>
          <w:lang w:val="en-GB"/>
        </w:rPr>
      </w:pPr>
      <w:hyperlink r:id="rId8" w:history="1">
        <w:r w:rsidRPr="00F2747B">
          <w:rPr>
            <w:rStyle w:val="Kpr"/>
            <w:rFonts w:ascii="Times New Roman" w:hAnsi="Times New Roman" w:cs="Times New Roman"/>
            <w:b/>
            <w:sz w:val="24"/>
            <w:szCs w:val="24"/>
            <w:lang w:val="en-GB"/>
          </w:rPr>
          <w:t>https://www.elibrary.imf.org/view/journals/002/2023/156/article-A002-en.xml</w:t>
        </w:r>
      </w:hyperlink>
    </w:p>
    <w:p w:rsidR="00773D64" w:rsidRDefault="00B3156B" w:rsidP="00042C98">
      <w:pPr>
        <w:rPr>
          <w:rFonts w:ascii="Times New Roman" w:hAnsi="Times New Roman" w:cs="Times New Roman"/>
          <w:b/>
          <w:sz w:val="24"/>
          <w:szCs w:val="24"/>
          <w:lang w:val="en-GB"/>
        </w:rPr>
      </w:pPr>
      <w:hyperlink r:id="rId9" w:history="1">
        <w:r w:rsidRPr="00F2747B">
          <w:rPr>
            <w:rStyle w:val="Kpr"/>
            <w:rFonts w:ascii="Times New Roman" w:hAnsi="Times New Roman" w:cs="Times New Roman"/>
            <w:b/>
            <w:sz w:val="24"/>
            <w:szCs w:val="24"/>
            <w:lang w:val="en-GB"/>
          </w:rPr>
          <w:t>https://www.wfp.org/news/food-insecurity-and-malnutrition-reach-new-highs-west-and-central-africa-funding-address-acute</w:t>
        </w:r>
      </w:hyperlink>
    </w:p>
    <w:p w:rsidR="00B3156B" w:rsidRPr="00042C98" w:rsidRDefault="00B3156B" w:rsidP="00042C98">
      <w:pPr>
        <w:rPr>
          <w:rFonts w:ascii="Times New Roman" w:hAnsi="Times New Roman" w:cs="Times New Roman"/>
          <w:b/>
          <w:sz w:val="24"/>
          <w:szCs w:val="24"/>
          <w:lang w:val="en-GB"/>
        </w:rPr>
      </w:pPr>
    </w:p>
    <w:p w:rsidR="00716D03" w:rsidRDefault="00716D03"/>
    <w:sectPr w:rsidR="00716D03" w:rsidSect="00716D03">
      <w:type w:val="continuous"/>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useFELayout/>
  </w:compat>
  <w:rsids>
    <w:rsidRoot w:val="00716D03"/>
    <w:rsid w:val="00042C98"/>
    <w:rsid w:val="003C418D"/>
    <w:rsid w:val="00434238"/>
    <w:rsid w:val="00577756"/>
    <w:rsid w:val="00587380"/>
    <w:rsid w:val="00716D03"/>
    <w:rsid w:val="00773D64"/>
    <w:rsid w:val="00B3156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next w:val="Normal"/>
    <w:link w:val="Balk3Char"/>
    <w:uiPriority w:val="9"/>
    <w:semiHidden/>
    <w:unhideWhenUsed/>
    <w:qFormat/>
    <w:rsid w:val="00716D03"/>
    <w:pPr>
      <w:keepNext/>
      <w:keepLines/>
      <w:spacing w:before="160" w:after="80" w:line="278" w:lineRule="auto"/>
      <w:outlineLvl w:val="2"/>
    </w:pPr>
    <w:rPr>
      <w:rFonts w:eastAsiaTheme="majorEastAsia" w:cstheme="majorBidi"/>
      <w:color w:val="365F91" w:themeColor="accent1" w:themeShade="BF"/>
      <w:kern w:val="2"/>
      <w:sz w:val="28"/>
      <w:szCs w:val="28"/>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16D0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16D03"/>
    <w:rPr>
      <w:rFonts w:ascii="Tahoma" w:hAnsi="Tahoma" w:cs="Tahoma"/>
      <w:sz w:val="16"/>
      <w:szCs w:val="16"/>
    </w:rPr>
  </w:style>
  <w:style w:type="character" w:customStyle="1" w:styleId="Balk3Char">
    <w:name w:val="Başlık 3 Char"/>
    <w:basedOn w:val="VarsaylanParagrafYazTipi"/>
    <w:link w:val="Balk3"/>
    <w:uiPriority w:val="9"/>
    <w:semiHidden/>
    <w:rsid w:val="00716D03"/>
    <w:rPr>
      <w:rFonts w:eastAsiaTheme="majorEastAsia" w:cstheme="majorBidi"/>
      <w:color w:val="365F91" w:themeColor="accent1" w:themeShade="BF"/>
      <w:kern w:val="2"/>
      <w:sz w:val="28"/>
      <w:szCs w:val="28"/>
      <w:lang w:val="en-GB" w:eastAsia="en-US"/>
    </w:rPr>
  </w:style>
  <w:style w:type="paragraph" w:styleId="HTMLncedenBiimlendirilmi">
    <w:name w:val="HTML Preformatted"/>
    <w:basedOn w:val="Normal"/>
    <w:link w:val="HTMLncedenBiimlendirilmiChar"/>
    <w:uiPriority w:val="99"/>
    <w:semiHidden/>
    <w:unhideWhenUsed/>
    <w:rsid w:val="00716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716D03"/>
    <w:rPr>
      <w:rFonts w:ascii="Courier New" w:eastAsia="Times New Roman" w:hAnsi="Courier New" w:cs="Courier New"/>
      <w:sz w:val="20"/>
      <w:szCs w:val="20"/>
    </w:rPr>
  </w:style>
  <w:style w:type="character" w:customStyle="1" w:styleId="y2iqfc">
    <w:name w:val="y2iqfc"/>
    <w:basedOn w:val="VarsaylanParagrafYazTipi"/>
    <w:rsid w:val="00716D03"/>
  </w:style>
  <w:style w:type="character" w:styleId="Kpr">
    <w:name w:val="Hyperlink"/>
    <w:basedOn w:val="VarsaylanParagrafYazTipi"/>
    <w:uiPriority w:val="99"/>
    <w:unhideWhenUsed/>
    <w:rsid w:val="00042C9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library.imf.org/view/journals/002/2023/156/article-A002-en.xml" TargetMode="External"/><Relationship Id="rId3" Type="http://schemas.openxmlformats.org/officeDocument/2006/relationships/webSettings" Target="webSettings.xml"/><Relationship Id="rId7" Type="http://schemas.openxmlformats.org/officeDocument/2006/relationships/hyperlink" Target="https://www.interaction.org/global-situation-report-2021/famine-risk-preven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legatepal.com/" TargetMode="External"/><Relationship Id="rId11" Type="http://schemas.openxmlformats.org/officeDocument/2006/relationships/theme" Target="theme/theme1.xml"/><Relationship Id="rId5" Type="http://schemas.openxmlformats.org/officeDocument/2006/relationships/hyperlink" Target="https://www.cia.gov/the-world-factbook/countries/central-african-republic/#introduction"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wfp.org/news/food-insecurity-and-malnutrition-reach-new-highs-west-and-central-africa-funding-address-acute"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593</Words>
  <Characters>3384</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8</cp:revision>
  <dcterms:created xsi:type="dcterms:W3CDTF">2024-04-24T20:29:00Z</dcterms:created>
  <dcterms:modified xsi:type="dcterms:W3CDTF">2024-04-24T20:57:00Z</dcterms:modified>
</cp:coreProperties>
</file>