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160" w:line="240"/>
        <w:ind w:right="0" w:left="0" w:firstLine="0"/>
        <w:jc w:val="right"/>
        <w:rPr>
          <w:rFonts w:ascii="Calibri" w:hAnsi="Calibri" w:cs="Calibri" w:eastAsia="Calibri"/>
          <w:color w:val="auto"/>
          <w:spacing w:val="0"/>
          <w:position w:val="0"/>
          <w:sz w:val="26"/>
          <w:shd w:fill="auto" w:val="clear"/>
        </w:rPr>
      </w:pPr>
      <w:r>
        <w:object w:dxaOrig="1995" w:dyaOrig="1200">
          <v:rect xmlns:o="urn:schemas-microsoft-com:office:office" xmlns:v="urn:schemas-microsoft-com:vml" id="rectole0000000000" style="width:99.750000pt;height:6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bidi w:val="true"/>
        <w:spacing w:before="0" w:after="160" w:line="259"/>
        <w:ind w:right="0" w:left="0" w:firstLine="0"/>
        <w:jc w:val="center"/>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Canada</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26"/>
          <w:shd w:fill="auto" w:val="clear"/>
        </w:rPr>
        <w:t xml:space="preserve">                      </w:t>
      </w:r>
    </w:p>
    <w:p>
      <w:pPr>
        <w:spacing w:before="0" w:after="160" w:line="259"/>
        <w:ind w:right="0" w:left="0" w:firstLine="0"/>
        <w:jc w:val="center"/>
        <w:rPr>
          <w:rFonts w:ascii="Calibri" w:hAnsi="Calibri" w:cs="Calibri" w:eastAsia="Calibri"/>
          <w:color w:val="auto"/>
          <w:spacing w:val="0"/>
          <w:position w:val="0"/>
          <w:sz w:val="26"/>
          <w:shd w:fill="auto" w:val="clear"/>
        </w:rPr>
      </w:pPr>
      <w:r>
        <w:rPr>
          <w:rFonts w:ascii="system-ui" w:hAnsi="system-ui" w:cs="system-ui" w:eastAsia="system-ui"/>
          <w:b/>
          <w:color w:val="000000"/>
          <w:spacing w:val="0"/>
          <w:position w:val="0"/>
          <w:sz w:val="24"/>
          <w:shd w:fill="auto" w:val="clear"/>
        </w:rPr>
        <w:t xml:space="preserve">Chemical</w:t>
      </w:r>
      <w:r>
        <w:rPr>
          <w:rFonts w:ascii="system-ui" w:hAnsi="system-ui" w:cs="system-ui" w:eastAsia="system-ui"/>
          <w:b/>
          <w:color w:val="000000"/>
          <w:spacing w:val="0"/>
          <w:position w:val="0"/>
          <w:sz w:val="24"/>
          <w:shd w:fill="auto" w:val="clear"/>
        </w:rPr>
        <w:t xml:space="preserve"> Weapons</w:t>
      </w:r>
      <w:r>
        <w:rPr>
          <w:rFonts w:ascii="system-ui" w:hAnsi="system-ui" w:cs="system-ui" w:eastAsia="system-ui"/>
          <w:b/>
          <w:color w:val="000000"/>
          <w:spacing w:val="0"/>
          <w:position w:val="0"/>
          <w:sz w:val="24"/>
          <w:shd w:fill="auto" w:val="clear"/>
        </w:rPr>
        <w:t xml:space="preserve"> </w:t>
      </w:r>
      <w:r>
        <w:rPr>
          <w:rFonts w:ascii="system-ui" w:hAnsi="system-ui" w:cs="system-ui" w:eastAsia="system-ui"/>
          <w:b/>
          <w:color w:val="000000"/>
          <w:spacing w:val="0"/>
          <w:position w:val="0"/>
          <w:sz w:val="24"/>
          <w:shd w:fill="auto" w:val="clear"/>
        </w:rPr>
        <w:t xml:space="preserve">Convention</w:t>
      </w:r>
      <w:r>
        <w:rPr>
          <w:rFonts w:ascii="system-ui" w:hAnsi="system-ui" w:cs="system-ui" w:eastAsia="system-ui"/>
          <w:b/>
          <w:color w:val="000000"/>
          <w:spacing w:val="0"/>
          <w:position w:val="0"/>
          <w:sz w:val="24"/>
          <w:shd w:fill="auto" w:val="clear"/>
        </w:rPr>
        <w:t xml:space="preserve"> </w:t>
      </w:r>
      <w:r>
        <w:rPr>
          <w:rFonts w:ascii="system-ui" w:hAnsi="system-ui" w:cs="system-ui" w:eastAsia="system-ui"/>
          <w:b/>
          <w:color w:val="000000"/>
          <w:spacing w:val="0"/>
          <w:position w:val="0"/>
          <w:sz w:val="24"/>
          <w:shd w:fill="auto" w:val="clear"/>
        </w:rPr>
        <w:t xml:space="preserve">and</w:t>
      </w:r>
      <w:r>
        <w:rPr>
          <w:rFonts w:ascii="system-ui" w:hAnsi="system-ui" w:cs="system-ui" w:eastAsia="system-ui"/>
          <w:b/>
          <w:color w:val="000000"/>
          <w:spacing w:val="0"/>
          <w:position w:val="0"/>
          <w:sz w:val="24"/>
          <w:shd w:fill="auto" w:val="clear"/>
        </w:rPr>
        <w:t xml:space="preserve"> </w:t>
      </w:r>
      <w:r>
        <w:rPr>
          <w:rFonts w:ascii="system-ui" w:hAnsi="system-ui" w:cs="system-ui" w:eastAsia="system-ui"/>
          <w:b/>
          <w:color w:val="000000"/>
          <w:spacing w:val="0"/>
          <w:position w:val="0"/>
          <w:sz w:val="24"/>
          <w:shd w:fill="auto" w:val="clear"/>
        </w:rPr>
        <w:t xml:space="preserve">Canada's</w:t>
      </w:r>
      <w:r>
        <w:rPr>
          <w:rFonts w:ascii="system-ui" w:hAnsi="system-ui" w:cs="system-ui" w:eastAsia="system-ui"/>
          <w:b/>
          <w:color w:val="000000"/>
          <w:spacing w:val="0"/>
          <w:position w:val="0"/>
          <w:sz w:val="24"/>
          <w:shd w:fill="auto" w:val="clear"/>
        </w:rPr>
        <w:t xml:space="preserve"> </w:t>
      </w:r>
      <w:r>
        <w:rPr>
          <w:rFonts w:ascii="system-ui" w:hAnsi="system-ui" w:cs="system-ui" w:eastAsia="system-ui"/>
          <w:b/>
          <w:color w:val="000000"/>
          <w:spacing w:val="0"/>
          <w:position w:val="0"/>
          <w:sz w:val="24"/>
          <w:shd w:fill="auto" w:val="clear"/>
        </w:rPr>
        <w:t xml:space="preserve">Commitments</w:t>
      </w:r>
      <w:r>
        <w:rPr>
          <w:rFonts w:ascii="system-ui" w:hAnsi="system-ui" w:cs="system-ui" w:eastAsia="system-ui"/>
          <w:b/>
          <w:color w:val="000000"/>
          <w:spacing w:val="0"/>
          <w:position w:val="0"/>
          <w:sz w:val="24"/>
          <w:shd w:fill="auto" w:val="clear"/>
        </w:rPr>
        <w:t xml:space="preserve"> </w:t>
      </w:r>
      <w:r>
        <w:rPr>
          <w:rFonts w:ascii="system-ui" w:hAnsi="system-ui" w:cs="system-ui" w:eastAsia="system-ui"/>
          <w:b/>
          <w:color w:val="000000"/>
          <w:spacing w:val="0"/>
          <w:position w:val="0"/>
          <w:sz w:val="24"/>
          <w:shd w:fill="auto" w:val="clear"/>
        </w:rPr>
        <w:t xml:space="preserve">and</w:t>
      </w:r>
      <w:r>
        <w:rPr>
          <w:rFonts w:ascii="system-ui" w:hAnsi="system-ui" w:cs="system-ui" w:eastAsia="system-ui"/>
          <w:b/>
          <w:color w:val="000000"/>
          <w:spacing w:val="0"/>
          <w:position w:val="0"/>
          <w:sz w:val="24"/>
          <w:shd w:fill="auto" w:val="clear"/>
        </w:rPr>
        <w:t xml:space="preserve"> </w:t>
      </w:r>
      <w:r>
        <w:rPr>
          <w:rFonts w:ascii="system-ui" w:hAnsi="system-ui" w:cs="system-ui" w:eastAsia="system-ui"/>
          <w:b/>
          <w:color w:val="000000"/>
          <w:spacing w:val="0"/>
          <w:position w:val="0"/>
          <w:sz w:val="24"/>
          <w:shd w:fill="auto" w:val="clear"/>
        </w:rPr>
        <w:t xml:space="preserve">Contributions</w:t>
      </w:r>
      <w:r>
        <w:rPr>
          <w:rFonts w:ascii="system-ui" w:hAnsi="system-ui" w:cs="system-ui" w:eastAsia="system-ui"/>
          <w:b/>
          <w:color w:val="000000"/>
          <w:spacing w:val="0"/>
          <w:position w:val="0"/>
          <w:sz w:val="24"/>
          <w:shd w:fill="auto" w:val="clear"/>
        </w:rPr>
        <w:t xml:space="preserve">  </w:t>
      </w:r>
      <w:r>
        <w:rPr>
          <w:rFonts w:ascii="Calibri" w:hAnsi="Calibri" w:cs="Calibri" w:eastAsia="Calibri"/>
          <w:b/>
          <w:color w:val="000000"/>
          <w:spacing w:val="0"/>
          <w:position w:val="0"/>
          <w:sz w:val="26"/>
          <w:shd w:fill="auto" w:val="clear"/>
        </w:rPr>
        <w:t xml:space="preserve">                                         </w:t>
      </w:r>
      <w:r>
        <w:rPr>
          <w:rFonts w:ascii="Calibri" w:hAnsi="Calibri" w:cs="Calibri" w:eastAsia="Calibri"/>
          <w:b/>
          <w:color w:val="auto"/>
          <w:spacing w:val="0"/>
          <w:position w:val="0"/>
          <w:sz w:val="26"/>
          <w:shd w:fill="auto" w:val="clear"/>
        </w:rPr>
        <w:t xml:space="preserve"> </w:t>
      </w:r>
    </w:p>
    <w:p>
      <w:pPr>
        <w:spacing w:before="0" w:after="160" w:line="259"/>
        <w:ind w:right="0" w:left="0" w:firstLine="0"/>
        <w:jc w:val="lef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 xml:space="preserve">        </w:t>
      </w:r>
    </w:p>
    <w:p>
      <w:pPr>
        <w:spacing w:before="0" w:after="160" w:line="259"/>
        <w:ind w:right="0" w:left="0" w:firstLine="708"/>
        <w:jc w:val="both"/>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Canada, as a dependable supporter for global security and disarmament, remains committed to the </w:t>
      </w:r>
      <w:r>
        <w:rPr>
          <w:rFonts w:ascii="system-ui" w:hAnsi="system-ui" w:cs="system-ui" w:eastAsia="system-ui"/>
          <w:color w:val="000000"/>
          <w:spacing w:val="0"/>
          <w:position w:val="0"/>
          <w:sz w:val="24"/>
          <w:shd w:fill="auto" w:val="clear"/>
        </w:rPr>
        <w:t xml:space="preserve">4 </w:t>
      </w:r>
      <w:r>
        <w:rPr>
          <w:rFonts w:ascii="system-ui" w:hAnsi="system-ui" w:cs="system-ui" w:eastAsia="system-ui"/>
          <w:color w:val="000000"/>
          <w:spacing w:val="0"/>
          <w:position w:val="0"/>
          <w:sz w:val="24"/>
          <w:shd w:fill="auto" w:val="clear"/>
        </w:rPr>
        <w:t xml:space="preserve">principles and objectives outlined in the Chemical Weapons Convention. The CWC serves as a critical international instrument, prohibiting the development, production, acquire, retention, transfer, and use of chemical weapons. Over </w:t>
      </w:r>
      <w:r>
        <w:rPr>
          <w:rFonts w:ascii="system-ui" w:hAnsi="system-ui" w:cs="system-ui" w:eastAsia="system-ui"/>
          <w:color w:val="000000"/>
          <w:spacing w:val="0"/>
          <w:position w:val="0"/>
          <w:sz w:val="24"/>
          <w:shd w:fill="auto" w:val="clear"/>
        </w:rPr>
        <w:t xml:space="preserve">190 </w:t>
      </w:r>
      <w:r>
        <w:rPr>
          <w:rFonts w:ascii="system-ui" w:hAnsi="system-ui" w:cs="system-ui" w:eastAsia="system-ui"/>
          <w:color w:val="000000"/>
          <w:spacing w:val="0"/>
          <w:position w:val="0"/>
          <w:sz w:val="24"/>
          <w:shd w:fill="auto" w:val="clear"/>
        </w:rPr>
        <w:t xml:space="preserve">States, including Canada, have certified or acceded to this crucial treaty. Despite significant progress, recent years have witnessed concerning developments challenging the effectiveness of the Chemical Weapons ban. Chemical weapons attacks persist in Syria, attributed to both the Syrian regime and terrorist organizations.</w:t>
      </w:r>
    </w:p>
    <w:p>
      <w:pPr>
        <w:spacing w:before="0" w:after="160" w:line="259"/>
        <w:ind w:right="0" w:left="0" w:firstLine="0"/>
        <w:jc w:val="left"/>
        <w:rPr>
          <w:rFonts w:ascii="system-ui" w:hAnsi="system-ui" w:cs="system-ui" w:eastAsia="system-ui"/>
          <w:color w:val="000000"/>
          <w:spacing w:val="0"/>
          <w:position w:val="0"/>
          <w:sz w:val="24"/>
          <w:shd w:fill="auto" w:val="clear"/>
        </w:rPr>
      </w:pPr>
    </w:p>
    <w:p>
      <w:pPr>
        <w:spacing w:before="0" w:after="160" w:line="259"/>
        <w:ind w:right="0" w:left="0" w:firstLine="708"/>
        <w:jc w:val="both"/>
        <w:rPr>
          <w:rFonts w:ascii="system-ui" w:hAnsi="system-ui" w:cs="system-ui" w:eastAsia="system-ui"/>
          <w:color w:val="auto"/>
          <w:spacing w:val="0"/>
          <w:position w:val="0"/>
          <w:sz w:val="24"/>
          <w:shd w:fill="auto" w:val="clear"/>
        </w:rPr>
      </w:pPr>
      <w:r>
        <w:rPr>
          <w:rFonts w:ascii="system-ui" w:hAnsi="system-ui" w:cs="system-ui" w:eastAsia="system-ui"/>
          <w:color w:val="000000"/>
          <w:spacing w:val="0"/>
          <w:position w:val="0"/>
          <w:sz w:val="24"/>
          <w:shd w:fill="auto" w:val="clear"/>
        </w:rPr>
        <w:t xml:space="preserve">This weapons introduced during the First World War, chemical weapons have unfortunately been employed more frequently than any other category of Weapons of Mass Destruction. The </w:t>
      </w:r>
      <w:r>
        <w:rPr>
          <w:rFonts w:ascii="system-ui" w:hAnsi="system-ui" w:cs="system-ui" w:eastAsia="system-ui"/>
          <w:color w:val="000000"/>
          <w:spacing w:val="0"/>
          <w:position w:val="0"/>
          <w:sz w:val="24"/>
          <w:shd w:fill="auto" w:val="clear"/>
        </w:rPr>
        <w:t xml:space="preserve">1925 </w:t>
      </w:r>
      <w:r>
        <w:rPr>
          <w:rFonts w:ascii="system-ui" w:hAnsi="system-ui" w:cs="system-ui" w:eastAsia="system-ui"/>
          <w:color w:val="000000"/>
          <w:spacing w:val="0"/>
          <w:position w:val="0"/>
          <w:sz w:val="24"/>
          <w:shd w:fill="auto" w:val="clear"/>
        </w:rPr>
        <w:t xml:space="preserve">Geneva Protocol marked a crucial step by banning the use of toxic chemical agents in warfare. The CWC serves as a vital framework, defining chemical weapons and setting the stage for international cooperation to prevent their use. Under the Convention, chemical weapons are classified as toxic chemicals and their lead, ordnance and devices designed to cause harm through toxic properties, and equipment directly related to their deployment. Canada, an sedulous supporter of the CWC, not only depends to its obligations through the Chemical Weapons Convention Implementation Act but also actively contributes to global efforts in eliminating these dangerous weapons.</w:t>
      </w:r>
    </w:p>
    <w:p>
      <w:pPr>
        <w:spacing w:before="0" w:after="160" w:line="259"/>
        <w:ind w:right="0" w:left="0" w:firstLine="0"/>
        <w:jc w:val="both"/>
        <w:rPr>
          <w:rFonts w:ascii="system-ui" w:hAnsi="system-ui" w:cs="system-ui" w:eastAsia="system-ui"/>
          <w:color w:val="000000"/>
          <w:spacing w:val="0"/>
          <w:position w:val="0"/>
          <w:sz w:val="24"/>
          <w:shd w:fill="auto" w:val="clear"/>
        </w:rPr>
      </w:pPr>
    </w:p>
    <w:p>
      <w:pPr>
        <w:spacing w:before="0" w:after="160" w:line="259"/>
        <w:ind w:right="0" w:left="0" w:firstLine="708"/>
        <w:jc w:val="both"/>
        <w:rPr>
          <w:rFonts w:ascii="system-ui" w:hAnsi="system-ui" w:cs="system-ui" w:eastAsia="system-ui"/>
          <w:color w:val="auto"/>
          <w:spacing w:val="0"/>
          <w:position w:val="0"/>
          <w:sz w:val="24"/>
          <w:shd w:fill="auto" w:val="clear"/>
        </w:rPr>
      </w:pPr>
      <w:r>
        <w:rPr>
          <w:rFonts w:ascii="system-ui" w:hAnsi="system-ui" w:cs="system-ui" w:eastAsia="system-ui"/>
          <w:color w:val="000000"/>
          <w:spacing w:val="0"/>
          <w:position w:val="0"/>
          <w:sz w:val="24"/>
          <w:shd w:fill="auto" w:val="clear"/>
        </w:rPr>
        <w:t xml:space="preserve">We acknowledges the critical role of the Organization for the Prohibition of Chemical Weapons in preventing the use of chemical weapons and attributing responsibility for attacks. To strengthen these efforts, Canada provides significant funds and technical expertise to the OPCW Fact-Finding Mission and its Investigation and Identification Team. We are resolute in holding accountable those responsible for chemical weapons-related atrocities. Our dedication to these efforts is unwavering, driven by the imperative to protect Canadians and individuals globally from the devastating impact of chemical weapons.</w:t>
      </w:r>
    </w:p>
    <w:p>
      <w:pPr>
        <w:spacing w:before="0" w:after="160" w:line="259"/>
        <w:ind w:right="0" w:left="0" w:firstLine="0"/>
        <w:jc w:val="both"/>
        <w:rPr>
          <w:rFonts w:ascii="system-ui" w:hAnsi="system-ui" w:cs="system-ui" w:eastAsia="system-ui"/>
          <w:color w:val="000000"/>
          <w:spacing w:val="0"/>
          <w:position w:val="0"/>
          <w:sz w:val="24"/>
          <w:shd w:fill="auto" w:val="clear"/>
        </w:rPr>
      </w:pPr>
    </w:p>
    <w:p>
      <w:pPr>
        <w:spacing w:before="0" w:after="160" w:line="259"/>
        <w:ind w:right="0" w:left="0" w:firstLine="0"/>
        <w:jc w:val="left"/>
        <w:rPr>
          <w:rFonts w:ascii="system-ui" w:hAnsi="system-ui" w:cs="system-ui" w:eastAsia="system-ui"/>
          <w:color w:val="0D0D0D"/>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