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EB" w:rsidRDefault="00EE6CEB" w:rsidP="00F51948">
      <w:pPr>
        <w:contextualSpacing/>
        <w:jc w:val="both"/>
        <w:rPr>
          <w:b/>
          <w:sz w:val="24"/>
          <w:szCs w:val="24"/>
        </w:rPr>
      </w:pPr>
    </w:p>
    <w:p w:rsidR="00EE6CEB" w:rsidRDefault="00EE6CEB" w:rsidP="00F51948">
      <w:pPr>
        <w:contextualSpacing/>
        <w:jc w:val="both"/>
        <w:rPr>
          <w:b/>
          <w:sz w:val="24"/>
          <w:szCs w:val="24"/>
        </w:rPr>
      </w:pPr>
      <w:bookmarkStart w:id="0" w:name="_GoBack"/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D960AB3" wp14:editId="3025765B">
            <wp:simplePos x="0" y="0"/>
            <wp:positionH relativeFrom="margin">
              <wp:posOffset>5514975</wp:posOffset>
            </wp:positionH>
            <wp:positionV relativeFrom="paragraph">
              <wp:posOffset>74295</wp:posOffset>
            </wp:positionV>
            <wp:extent cx="114300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1240" y="20754"/>
                <wp:lineTo x="21240" y="0"/>
                <wp:lineTo x="0" y="0"/>
              </wp:wrapPolygon>
            </wp:wrapThrough>
            <wp:docPr id="1" name="Resim 1" descr="Polony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ny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51948" w:rsidRPr="00F51948" w:rsidRDefault="00F51948" w:rsidP="00F51948">
      <w:pPr>
        <w:contextualSpacing/>
        <w:jc w:val="both"/>
        <w:rPr>
          <w:noProof/>
          <w:sz w:val="24"/>
          <w:szCs w:val="24"/>
          <w:lang w:eastAsia="tr-TR"/>
        </w:rPr>
      </w:pPr>
      <w:r w:rsidRPr="00F51948">
        <w:rPr>
          <w:b/>
          <w:sz w:val="24"/>
          <w:szCs w:val="24"/>
        </w:rPr>
        <w:t>Committee</w:t>
      </w:r>
      <w:r w:rsidRPr="00F51948">
        <w:rPr>
          <w:sz w:val="24"/>
          <w:szCs w:val="24"/>
        </w:rPr>
        <w:t>:</w:t>
      </w:r>
      <w:r w:rsidRPr="00F51948">
        <w:rPr>
          <w:noProof/>
          <w:sz w:val="24"/>
          <w:szCs w:val="24"/>
          <w:lang w:eastAsia="tr-TR"/>
        </w:rPr>
        <w:t xml:space="preserve"> SOCHUM (Social, Humanitarian and Cultural Committee)</w:t>
      </w:r>
      <w:r w:rsidR="00EE6CEB" w:rsidRPr="00EE6CEB">
        <w:t xml:space="preserve"> </w:t>
      </w:r>
    </w:p>
    <w:p w:rsidR="00F51948" w:rsidRPr="00F51948" w:rsidRDefault="00F51948" w:rsidP="00F51948">
      <w:pPr>
        <w:contextualSpacing/>
        <w:jc w:val="both"/>
        <w:rPr>
          <w:noProof/>
          <w:sz w:val="24"/>
          <w:szCs w:val="24"/>
          <w:lang w:eastAsia="tr-TR"/>
        </w:rPr>
      </w:pPr>
    </w:p>
    <w:p w:rsidR="00F51948" w:rsidRPr="00F51948" w:rsidRDefault="00F51948" w:rsidP="00F51948">
      <w:pPr>
        <w:pStyle w:val="GvdeMetni"/>
        <w:ind w:left="0"/>
        <w:contextualSpacing/>
        <w:jc w:val="both"/>
      </w:pPr>
      <w:r w:rsidRPr="00F51948">
        <w:rPr>
          <w:b/>
        </w:rPr>
        <w:t>Country</w:t>
      </w:r>
      <w:r w:rsidRPr="00F51948">
        <w:t>: Poland</w:t>
      </w:r>
    </w:p>
    <w:p w:rsidR="00F51948" w:rsidRPr="00F51948" w:rsidRDefault="00F51948" w:rsidP="00F51948">
      <w:pPr>
        <w:pStyle w:val="GvdeMetni"/>
        <w:contextualSpacing/>
        <w:jc w:val="both"/>
      </w:pPr>
    </w:p>
    <w:p w:rsidR="00F51948" w:rsidRPr="00F51948" w:rsidRDefault="00F51948" w:rsidP="00F51948">
      <w:pPr>
        <w:pStyle w:val="GvdeMetni"/>
        <w:ind w:left="0"/>
        <w:contextualSpacing/>
        <w:jc w:val="both"/>
      </w:pPr>
      <w:r w:rsidRPr="00F51948">
        <w:rPr>
          <w:b/>
        </w:rPr>
        <w:t>Agenda</w:t>
      </w:r>
      <w:r w:rsidRPr="00F51948">
        <w:t xml:space="preserve"> </w:t>
      </w:r>
      <w:r w:rsidRPr="00F51948">
        <w:rPr>
          <w:b/>
        </w:rPr>
        <w:t>Item</w:t>
      </w:r>
      <w:r w:rsidRPr="00F51948">
        <w:t>: Enhancing Access to Educational Opportunities for Children Globally</w:t>
      </w:r>
    </w:p>
    <w:p w:rsidR="00F51948" w:rsidRPr="00F51948" w:rsidRDefault="00F51948" w:rsidP="00F51948">
      <w:pPr>
        <w:pStyle w:val="GvdeMetni"/>
        <w:contextualSpacing/>
        <w:jc w:val="both"/>
      </w:pPr>
      <w:r w:rsidRPr="00F51948">
        <w:t xml:space="preserve"> </w:t>
      </w:r>
    </w:p>
    <w:p w:rsidR="00F51948" w:rsidRPr="00F51948" w:rsidRDefault="00F51948" w:rsidP="00F51948">
      <w:pPr>
        <w:pStyle w:val="GvdeMetni"/>
        <w:ind w:left="0"/>
        <w:contextualSpacing/>
        <w:jc w:val="both"/>
      </w:pPr>
      <w:r w:rsidRPr="00F51948">
        <w:rPr>
          <w:bCs/>
          <w:shd w:val="clear" w:color="auto" w:fill="FFFFFF"/>
        </w:rPr>
        <w:t>Poland</w:t>
      </w:r>
      <w:r w:rsidRPr="00F51948">
        <w:rPr>
          <w:shd w:val="clear" w:color="auto" w:fill="FFFFFF"/>
        </w:rPr>
        <w:t>,</w:t>
      </w:r>
      <w:hyperlink r:id="rId7" w:anchor="cite_note-22" w:history="1"/>
      <w:r w:rsidRPr="00F51948">
        <w:rPr>
          <w:shd w:val="clear" w:color="auto" w:fill="FFFFFF"/>
        </w:rPr>
        <w:t> officially the </w:t>
      </w:r>
      <w:r w:rsidRPr="00F51948">
        <w:rPr>
          <w:bCs/>
          <w:shd w:val="clear" w:color="auto" w:fill="FFFFFF"/>
        </w:rPr>
        <w:t>Republic of Poland</w:t>
      </w:r>
      <w:r w:rsidRPr="00F51948">
        <w:rPr>
          <w:shd w:val="clear" w:color="auto" w:fill="FFFFFF"/>
        </w:rPr>
        <w:t>, is a country in </w:t>
      </w:r>
      <w:hyperlink r:id="rId8" w:tooltip="Central Europe" w:history="1">
        <w:r w:rsidRPr="00F51948">
          <w:rPr>
            <w:rStyle w:val="Kpr"/>
            <w:color w:val="auto"/>
            <w:u w:val="none"/>
            <w:shd w:val="clear" w:color="auto" w:fill="FFFFFF"/>
          </w:rPr>
          <w:t>Central Europe</w:t>
        </w:r>
      </w:hyperlink>
      <w:r w:rsidRPr="00F51948">
        <w:rPr>
          <w:shd w:val="clear" w:color="auto" w:fill="FFFFFF"/>
        </w:rPr>
        <w:t>. Poland is composed of </w:t>
      </w:r>
      <w:hyperlink r:id="rId9" w:tooltip="Voivodeships of Poland" w:history="1">
        <w:r w:rsidRPr="00F51948">
          <w:rPr>
            <w:rStyle w:val="Kpr"/>
            <w:color w:val="auto"/>
            <w:u w:val="none"/>
            <w:shd w:val="clear" w:color="auto" w:fill="FFFFFF"/>
          </w:rPr>
          <w:t xml:space="preserve">sixteen </w:t>
        </w:r>
        <w:proofErr w:type="spellStart"/>
        <w:r w:rsidRPr="00F51948">
          <w:rPr>
            <w:rStyle w:val="Kpr"/>
            <w:color w:val="auto"/>
            <w:u w:val="none"/>
            <w:shd w:val="clear" w:color="auto" w:fill="FFFFFF"/>
          </w:rPr>
          <w:t>voivodeships</w:t>
        </w:r>
        <w:proofErr w:type="spellEnd"/>
      </w:hyperlink>
      <w:r w:rsidRPr="00F51948">
        <w:rPr>
          <w:shd w:val="clear" w:color="auto" w:fill="FFFFFF"/>
        </w:rPr>
        <w:t> and is the fifth most populous </w:t>
      </w:r>
      <w:hyperlink r:id="rId10" w:tooltip="Member state of the European Union" w:history="1">
        <w:r w:rsidRPr="00F51948">
          <w:rPr>
            <w:rStyle w:val="Kpr"/>
            <w:color w:val="auto"/>
            <w:u w:val="none"/>
            <w:shd w:val="clear" w:color="auto" w:fill="FFFFFF"/>
          </w:rPr>
          <w:t>member state of the European Union</w:t>
        </w:r>
      </w:hyperlink>
      <w:r w:rsidRPr="00F51948">
        <w:rPr>
          <w:shd w:val="clear" w:color="auto" w:fill="FFFFFF"/>
        </w:rPr>
        <w:t> (EU), with over 38 million people, and the </w:t>
      </w:r>
      <w:hyperlink r:id="rId11" w:tooltip="List of European countries by area" w:history="1">
        <w:r w:rsidRPr="00F51948">
          <w:rPr>
            <w:rStyle w:val="Kpr"/>
            <w:color w:val="auto"/>
            <w:u w:val="none"/>
            <w:shd w:val="clear" w:color="auto" w:fill="FFFFFF"/>
          </w:rPr>
          <w:t>fifth largest EU country</w:t>
        </w:r>
      </w:hyperlink>
      <w:r w:rsidRPr="00F51948">
        <w:rPr>
          <w:shd w:val="clear" w:color="auto" w:fill="FFFFFF"/>
        </w:rPr>
        <w:t> by land area, covering a combined area of 312,696 km</w:t>
      </w:r>
      <w:r w:rsidRPr="00F51948">
        <w:rPr>
          <w:shd w:val="clear" w:color="auto" w:fill="FFFFFF"/>
          <w:vertAlign w:val="superscript"/>
        </w:rPr>
        <w:t>2</w:t>
      </w:r>
      <w:r w:rsidRPr="00F51948">
        <w:rPr>
          <w:shd w:val="clear" w:color="auto" w:fill="FFFFFF"/>
        </w:rPr>
        <w:t> (120,733 </w:t>
      </w:r>
      <w:proofErr w:type="spellStart"/>
      <w:r w:rsidRPr="00F51948">
        <w:rPr>
          <w:shd w:val="clear" w:color="auto" w:fill="FFFFFF"/>
        </w:rPr>
        <w:t>sq</w:t>
      </w:r>
      <w:proofErr w:type="spellEnd"/>
      <w:r w:rsidRPr="00F51948">
        <w:rPr>
          <w:shd w:val="clear" w:color="auto" w:fill="FFFFFF"/>
        </w:rPr>
        <w:t> mi). The capital and </w:t>
      </w:r>
      <w:hyperlink r:id="rId12" w:tooltip="List of cities and towns in Poland" w:history="1">
        <w:r w:rsidRPr="00F51948">
          <w:rPr>
            <w:rStyle w:val="Kpr"/>
            <w:color w:val="auto"/>
            <w:u w:val="none"/>
            <w:shd w:val="clear" w:color="auto" w:fill="FFFFFF"/>
          </w:rPr>
          <w:t>largest city</w:t>
        </w:r>
      </w:hyperlink>
      <w:r w:rsidRPr="00F51948">
        <w:rPr>
          <w:shd w:val="clear" w:color="auto" w:fill="FFFFFF"/>
        </w:rPr>
        <w:t> is </w:t>
      </w:r>
      <w:hyperlink r:id="rId13" w:tooltip="Warsaw" w:history="1">
        <w:r w:rsidRPr="00F51948">
          <w:rPr>
            <w:rStyle w:val="Kpr"/>
            <w:color w:val="auto"/>
            <w:u w:val="none"/>
            <w:shd w:val="clear" w:color="auto" w:fill="FFFFFF"/>
          </w:rPr>
          <w:t>Warsaw</w:t>
        </w:r>
      </w:hyperlink>
      <w:r w:rsidRPr="00F51948">
        <w:t>.</w:t>
      </w:r>
    </w:p>
    <w:p w:rsidR="00F51948" w:rsidRPr="00F51948" w:rsidRDefault="00F51948" w:rsidP="00F51948">
      <w:pPr>
        <w:pStyle w:val="GvdeMetni"/>
        <w:ind w:left="0"/>
        <w:contextualSpacing/>
        <w:jc w:val="both"/>
        <w:rPr>
          <w:shd w:val="clear" w:color="auto" w:fill="FFFFFF"/>
        </w:rPr>
      </w:pPr>
    </w:p>
    <w:p w:rsidR="00F51948" w:rsidRPr="00F51948" w:rsidRDefault="00F51948" w:rsidP="00F51948">
      <w:pPr>
        <w:pStyle w:val="NormalWeb"/>
        <w:spacing w:before="0" w:beforeAutospacing="0" w:after="270" w:afterAutospacing="0"/>
        <w:contextualSpacing/>
        <w:jc w:val="both"/>
      </w:pPr>
      <w:proofErr w:type="spellStart"/>
      <w:r w:rsidRPr="00F51948">
        <w:rPr>
          <w:shd w:val="clear" w:color="auto" w:fill="FFFFFF"/>
        </w:rPr>
        <w:t>Currently</w:t>
      </w:r>
      <w:proofErr w:type="spellEnd"/>
      <w:r w:rsidRPr="00F51948">
        <w:rPr>
          <w:shd w:val="clear" w:color="auto" w:fill="FFFFFF"/>
        </w:rPr>
        <w:t xml:space="preserve">, </w:t>
      </w:r>
      <w:proofErr w:type="spellStart"/>
      <w:r w:rsidRPr="00F51948">
        <w:rPr>
          <w:shd w:val="clear" w:color="auto" w:fill="FFFFFF"/>
        </w:rPr>
        <w:t>there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are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over</w:t>
      </w:r>
      <w:proofErr w:type="spellEnd"/>
      <w:r w:rsidRPr="00F51948">
        <w:rPr>
          <w:shd w:val="clear" w:color="auto" w:fill="FFFFFF"/>
        </w:rPr>
        <w:t xml:space="preserve"> 700 </w:t>
      </w:r>
      <w:proofErr w:type="spellStart"/>
      <w:r w:rsidRPr="00F51948">
        <w:rPr>
          <w:shd w:val="clear" w:color="auto" w:fill="FFFFFF"/>
        </w:rPr>
        <w:t>million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people</w:t>
      </w:r>
      <w:proofErr w:type="spellEnd"/>
      <w:r w:rsidRPr="00F51948">
        <w:rPr>
          <w:shd w:val="clear" w:color="auto" w:fill="FFFFFF"/>
        </w:rPr>
        <w:t xml:space="preserve"> in </w:t>
      </w:r>
      <w:proofErr w:type="spellStart"/>
      <w:r w:rsidRPr="00F51948">
        <w:rPr>
          <w:shd w:val="clear" w:color="auto" w:fill="FFFFFF"/>
        </w:rPr>
        <w:t>the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world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who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are</w:t>
      </w:r>
      <w:proofErr w:type="spellEnd"/>
      <w:r w:rsidRPr="00F51948">
        <w:rPr>
          <w:shd w:val="clear" w:color="auto" w:fill="FFFFFF"/>
        </w:rPr>
        <w:t xml:space="preserve"> not </w:t>
      </w:r>
      <w:proofErr w:type="spellStart"/>
      <w:r w:rsidRPr="00F51948">
        <w:rPr>
          <w:shd w:val="clear" w:color="auto" w:fill="FFFFFF"/>
        </w:rPr>
        <w:t>able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to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write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and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read</w:t>
      </w:r>
      <w:proofErr w:type="spellEnd"/>
      <w:r w:rsidRPr="00F51948">
        <w:rPr>
          <w:shd w:val="clear" w:color="auto" w:fill="FFFFFF"/>
        </w:rPr>
        <w:t xml:space="preserve">. </w:t>
      </w:r>
      <w:proofErr w:type="spellStart"/>
      <w:r w:rsidRPr="00F51948">
        <w:rPr>
          <w:shd w:val="clear" w:color="auto" w:fill="FFFFFF"/>
        </w:rPr>
        <w:t>Most</w:t>
      </w:r>
      <w:proofErr w:type="spellEnd"/>
      <w:r w:rsidRPr="00F51948">
        <w:rPr>
          <w:shd w:val="clear" w:color="auto" w:fill="FFFFFF"/>
        </w:rPr>
        <w:t xml:space="preserve"> of </w:t>
      </w:r>
      <w:proofErr w:type="spellStart"/>
      <w:r w:rsidRPr="00F51948">
        <w:rPr>
          <w:shd w:val="clear" w:color="auto" w:fill="FFFFFF"/>
        </w:rPr>
        <w:t>them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are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women</w:t>
      </w:r>
      <w:proofErr w:type="spellEnd"/>
      <w:r w:rsidRPr="00F51948">
        <w:rPr>
          <w:shd w:val="clear" w:color="auto" w:fill="FFFFFF"/>
        </w:rPr>
        <w:t xml:space="preserve">. </w:t>
      </w:r>
      <w:proofErr w:type="spellStart"/>
      <w:r w:rsidRPr="00F51948">
        <w:rPr>
          <w:shd w:val="clear" w:color="auto" w:fill="FFFFFF"/>
        </w:rPr>
        <w:t>Almost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three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times</w:t>
      </w:r>
      <w:proofErr w:type="spellEnd"/>
      <w:r w:rsidRPr="00F51948">
        <w:rPr>
          <w:shd w:val="clear" w:color="auto" w:fill="FFFFFF"/>
        </w:rPr>
        <w:t xml:space="preserve"> as </w:t>
      </w:r>
      <w:proofErr w:type="spellStart"/>
      <w:r w:rsidRPr="00F51948">
        <w:rPr>
          <w:shd w:val="clear" w:color="auto" w:fill="FFFFFF"/>
        </w:rPr>
        <w:t>many</w:t>
      </w:r>
      <w:proofErr w:type="spellEnd"/>
      <w:r w:rsidRPr="00F51948">
        <w:rPr>
          <w:shd w:val="clear" w:color="auto" w:fill="FFFFFF"/>
        </w:rPr>
        <w:t xml:space="preserve"> do not </w:t>
      </w:r>
      <w:proofErr w:type="spellStart"/>
      <w:r w:rsidRPr="00F51948">
        <w:rPr>
          <w:shd w:val="clear" w:color="auto" w:fill="FFFFFF"/>
        </w:rPr>
        <w:t>have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access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to</w:t>
      </w:r>
      <w:proofErr w:type="spellEnd"/>
      <w:r w:rsidRPr="00F51948">
        <w:rPr>
          <w:shd w:val="clear" w:color="auto" w:fill="FFFFFF"/>
        </w:rPr>
        <w:t xml:space="preserve"> a </w:t>
      </w:r>
      <w:proofErr w:type="spellStart"/>
      <w:r w:rsidRPr="00F51948">
        <w:rPr>
          <w:shd w:val="clear" w:color="auto" w:fill="FFFFFF"/>
        </w:rPr>
        <w:t>stable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education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system</w:t>
      </w:r>
      <w:proofErr w:type="spellEnd"/>
      <w:r w:rsidRPr="00F51948">
        <w:rPr>
          <w:shd w:val="clear" w:color="auto" w:fill="FFFFFF"/>
        </w:rPr>
        <w:t xml:space="preserve">. </w:t>
      </w:r>
      <w:proofErr w:type="spellStart"/>
      <w:r w:rsidRPr="00F51948">
        <w:rPr>
          <w:shd w:val="clear" w:color="auto" w:fill="FFFFFF"/>
        </w:rPr>
        <w:t>Without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these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basics</w:t>
      </w:r>
      <w:proofErr w:type="spellEnd"/>
      <w:r w:rsidRPr="00F51948">
        <w:rPr>
          <w:shd w:val="clear" w:color="auto" w:fill="FFFFFF"/>
        </w:rPr>
        <w:t xml:space="preserve">, </w:t>
      </w:r>
      <w:proofErr w:type="spellStart"/>
      <w:r w:rsidRPr="00F51948">
        <w:rPr>
          <w:shd w:val="clear" w:color="auto" w:fill="FFFFFF"/>
        </w:rPr>
        <w:t>people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are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cut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off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from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information</w:t>
      </w:r>
      <w:proofErr w:type="spellEnd"/>
      <w:r w:rsidRPr="00F51948">
        <w:rPr>
          <w:shd w:val="clear" w:color="auto" w:fill="FFFFFF"/>
        </w:rPr>
        <w:t xml:space="preserve">, </w:t>
      </w:r>
      <w:proofErr w:type="spellStart"/>
      <w:r w:rsidRPr="00F51948">
        <w:rPr>
          <w:shd w:val="clear" w:color="auto" w:fill="FFFFFF"/>
        </w:rPr>
        <w:t>knowledge</w:t>
      </w:r>
      <w:proofErr w:type="spellEnd"/>
      <w:r w:rsidRPr="00F51948">
        <w:rPr>
          <w:shd w:val="clear" w:color="auto" w:fill="FFFFFF"/>
        </w:rPr>
        <w:t xml:space="preserve">, </w:t>
      </w:r>
      <w:proofErr w:type="spellStart"/>
      <w:r w:rsidRPr="00F51948">
        <w:rPr>
          <w:shd w:val="clear" w:color="auto" w:fill="FFFFFF"/>
        </w:rPr>
        <w:t>and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truth</w:t>
      </w:r>
      <w:proofErr w:type="spellEnd"/>
      <w:r w:rsidRPr="00F51948">
        <w:rPr>
          <w:shd w:val="clear" w:color="auto" w:fill="FFFFFF"/>
        </w:rPr>
        <w:t xml:space="preserve">. </w:t>
      </w:r>
      <w:proofErr w:type="spellStart"/>
      <w:r w:rsidRPr="00F51948">
        <w:rPr>
          <w:shd w:val="clear" w:color="auto" w:fill="FFFFFF"/>
        </w:rPr>
        <w:t>Without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that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they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become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more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vulnerable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to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manipulation</w:t>
      </w:r>
      <w:proofErr w:type="spellEnd"/>
      <w:r w:rsidRPr="00F51948">
        <w:rPr>
          <w:shd w:val="clear" w:color="auto" w:fill="FFFFFF"/>
        </w:rPr>
        <w:t xml:space="preserve">, </w:t>
      </w:r>
      <w:proofErr w:type="spellStart"/>
      <w:r w:rsidRPr="00F51948">
        <w:rPr>
          <w:shd w:val="clear" w:color="auto" w:fill="FFFFFF"/>
        </w:rPr>
        <w:t>social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inequalities</w:t>
      </w:r>
      <w:proofErr w:type="spellEnd"/>
      <w:r w:rsidRPr="00F51948">
        <w:rPr>
          <w:shd w:val="clear" w:color="auto" w:fill="FFFFFF"/>
        </w:rPr>
        <w:t xml:space="preserve">, </w:t>
      </w:r>
      <w:proofErr w:type="spellStart"/>
      <w:r w:rsidRPr="00F51948">
        <w:rPr>
          <w:shd w:val="clear" w:color="auto" w:fill="FFFFFF"/>
        </w:rPr>
        <w:t>exploitation</w:t>
      </w:r>
      <w:proofErr w:type="spellEnd"/>
      <w:r w:rsidRPr="00F51948">
        <w:rPr>
          <w:shd w:val="clear" w:color="auto" w:fill="FFFFFF"/>
        </w:rPr>
        <w:t xml:space="preserve">, </w:t>
      </w:r>
      <w:proofErr w:type="spellStart"/>
      <w:r w:rsidRPr="00F51948">
        <w:rPr>
          <w:shd w:val="clear" w:color="auto" w:fill="FFFFFF"/>
        </w:rPr>
        <w:t>objectification</w:t>
      </w:r>
      <w:proofErr w:type="spellEnd"/>
      <w:r w:rsidRPr="00F51948">
        <w:rPr>
          <w:shd w:val="clear" w:color="auto" w:fill="FFFFFF"/>
        </w:rPr>
        <w:t xml:space="preserve">, </w:t>
      </w:r>
      <w:proofErr w:type="spellStart"/>
      <w:r w:rsidRPr="00F51948">
        <w:rPr>
          <w:shd w:val="clear" w:color="auto" w:fill="FFFFFF"/>
        </w:rPr>
        <w:t>or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even</w:t>
      </w:r>
      <w:proofErr w:type="spellEnd"/>
      <w:r w:rsidRPr="00F51948">
        <w:rPr>
          <w:shd w:val="clear" w:color="auto" w:fill="FFFFFF"/>
        </w:rPr>
        <w:t xml:space="preserve"> </w:t>
      </w:r>
      <w:proofErr w:type="spellStart"/>
      <w:r w:rsidRPr="00F51948">
        <w:rPr>
          <w:shd w:val="clear" w:color="auto" w:fill="FFFFFF"/>
        </w:rPr>
        <w:t>slavery</w:t>
      </w:r>
      <w:proofErr w:type="spellEnd"/>
      <w:r w:rsidRPr="00F51948">
        <w:rPr>
          <w:shd w:val="clear" w:color="auto" w:fill="FFFFFF"/>
        </w:rPr>
        <w:t>.</w:t>
      </w:r>
      <w:r w:rsidRPr="00F51948">
        <w:t xml:space="preserve"> </w:t>
      </w:r>
      <w:proofErr w:type="spellStart"/>
      <w:r w:rsidRPr="00F51948">
        <w:t>The</w:t>
      </w:r>
      <w:proofErr w:type="spellEnd"/>
      <w:r w:rsidRPr="00F51948">
        <w:t xml:space="preserve"> Learning Passport, an e-</w:t>
      </w:r>
      <w:proofErr w:type="spellStart"/>
      <w:r w:rsidRPr="00F51948">
        <w:t>learning</w:t>
      </w:r>
      <w:proofErr w:type="spellEnd"/>
      <w:r w:rsidRPr="00F51948">
        <w:t xml:space="preserve"> platform </w:t>
      </w:r>
      <w:proofErr w:type="spellStart"/>
      <w:r w:rsidRPr="00F51948">
        <w:t>from</w:t>
      </w:r>
      <w:proofErr w:type="spellEnd"/>
      <w:r w:rsidRPr="00F51948">
        <w:t xml:space="preserve"> Microsoft </w:t>
      </w:r>
      <w:proofErr w:type="spellStart"/>
      <w:r w:rsidRPr="00F51948">
        <w:t>and</w:t>
      </w:r>
      <w:proofErr w:type="spellEnd"/>
      <w:r w:rsidRPr="00F51948">
        <w:t xml:space="preserve"> UNICEF, </w:t>
      </w:r>
      <w:proofErr w:type="spellStart"/>
      <w:r w:rsidRPr="00F51948">
        <w:t>was</w:t>
      </w:r>
      <w:proofErr w:type="spellEnd"/>
      <w:r w:rsidRPr="00F51948">
        <w:t xml:space="preserve"> </w:t>
      </w:r>
      <w:proofErr w:type="spellStart"/>
      <w:r w:rsidRPr="00F51948">
        <w:t>launched</w:t>
      </w:r>
      <w:proofErr w:type="spellEnd"/>
      <w:r w:rsidRPr="00F51948">
        <w:t xml:space="preserve"> </w:t>
      </w:r>
      <w:proofErr w:type="spellStart"/>
      <w:r w:rsidRPr="00F51948">
        <w:t>today</w:t>
      </w:r>
      <w:proofErr w:type="spellEnd"/>
      <w:r w:rsidRPr="00F51948">
        <w:t xml:space="preserve"> </w:t>
      </w:r>
      <w:proofErr w:type="spellStart"/>
      <w:r w:rsidRPr="00F51948">
        <w:t>to</w:t>
      </w:r>
      <w:proofErr w:type="spellEnd"/>
      <w:r w:rsidRPr="00F51948">
        <w:t xml:space="preserve"> </w:t>
      </w:r>
      <w:proofErr w:type="spellStart"/>
      <w:r w:rsidRPr="00F51948">
        <w:t>support</w:t>
      </w:r>
      <w:proofErr w:type="spellEnd"/>
      <w:r w:rsidRPr="00F51948">
        <w:t xml:space="preserve"> </w:t>
      </w:r>
      <w:proofErr w:type="spellStart"/>
      <w:r w:rsidRPr="00F51948">
        <w:t>the</w:t>
      </w:r>
      <w:proofErr w:type="spellEnd"/>
      <w:r w:rsidRPr="00F51948">
        <w:t xml:space="preserve"> </w:t>
      </w:r>
      <w:proofErr w:type="spellStart"/>
      <w:r w:rsidRPr="00F51948">
        <w:t>inclusive</w:t>
      </w:r>
      <w:proofErr w:type="spellEnd"/>
      <w:r w:rsidRPr="00F51948">
        <w:t xml:space="preserve"> </w:t>
      </w:r>
      <w:proofErr w:type="spellStart"/>
      <w:r w:rsidRPr="00F51948">
        <w:t>education</w:t>
      </w:r>
      <w:proofErr w:type="spellEnd"/>
      <w:r w:rsidRPr="00F51948">
        <w:t xml:space="preserve"> of </w:t>
      </w:r>
      <w:proofErr w:type="spellStart"/>
      <w:r w:rsidRPr="00F51948">
        <w:t>refugees</w:t>
      </w:r>
      <w:proofErr w:type="spellEnd"/>
      <w:r w:rsidRPr="00F51948">
        <w:t xml:space="preserve"> in </w:t>
      </w:r>
      <w:proofErr w:type="spellStart"/>
      <w:r w:rsidRPr="00F51948">
        <w:t>the</w:t>
      </w:r>
      <w:proofErr w:type="spellEnd"/>
      <w:r w:rsidRPr="00F51948">
        <w:t xml:space="preserve"> </w:t>
      </w:r>
      <w:proofErr w:type="spellStart"/>
      <w:r w:rsidRPr="00F51948">
        <w:t>Polish</w:t>
      </w:r>
      <w:proofErr w:type="spellEnd"/>
      <w:r w:rsidRPr="00F51948">
        <w:t xml:space="preserve"> </w:t>
      </w:r>
      <w:proofErr w:type="spellStart"/>
      <w:r w:rsidRPr="00F51948">
        <w:t>school</w:t>
      </w:r>
      <w:proofErr w:type="spellEnd"/>
      <w:r w:rsidRPr="00F51948">
        <w:t xml:space="preserve"> </w:t>
      </w:r>
      <w:proofErr w:type="spellStart"/>
      <w:r w:rsidRPr="00F51948">
        <w:t>system</w:t>
      </w:r>
      <w:proofErr w:type="spellEnd"/>
      <w:r w:rsidRPr="00F51948">
        <w:t xml:space="preserve">. Poland </w:t>
      </w:r>
      <w:proofErr w:type="spellStart"/>
      <w:r w:rsidRPr="00F51948">
        <w:t>becomes</w:t>
      </w:r>
      <w:proofErr w:type="spellEnd"/>
      <w:r w:rsidRPr="00F51948">
        <w:t xml:space="preserve"> </w:t>
      </w:r>
      <w:proofErr w:type="spellStart"/>
      <w:r w:rsidRPr="00F51948">
        <w:t>the</w:t>
      </w:r>
      <w:proofErr w:type="spellEnd"/>
      <w:r w:rsidRPr="00F51948">
        <w:t xml:space="preserve"> </w:t>
      </w:r>
      <w:proofErr w:type="spellStart"/>
      <w:r w:rsidRPr="00F51948">
        <w:t>first</w:t>
      </w:r>
      <w:proofErr w:type="spellEnd"/>
      <w:r w:rsidRPr="00F51948">
        <w:t xml:space="preserve"> </w:t>
      </w:r>
      <w:proofErr w:type="spellStart"/>
      <w:r w:rsidRPr="00F51948">
        <w:t>country</w:t>
      </w:r>
      <w:proofErr w:type="spellEnd"/>
      <w:r w:rsidRPr="00F51948">
        <w:t xml:space="preserve"> </w:t>
      </w:r>
      <w:proofErr w:type="spellStart"/>
      <w:r w:rsidRPr="00F51948">
        <w:t>globally</w:t>
      </w:r>
      <w:proofErr w:type="spellEnd"/>
      <w:r w:rsidRPr="00F51948">
        <w:t xml:space="preserve"> </w:t>
      </w:r>
      <w:proofErr w:type="spellStart"/>
      <w:r w:rsidRPr="00F51948">
        <w:t>to</w:t>
      </w:r>
      <w:proofErr w:type="spellEnd"/>
      <w:r w:rsidRPr="00F51948">
        <w:t xml:space="preserve"> </w:t>
      </w:r>
      <w:proofErr w:type="spellStart"/>
      <w:r w:rsidRPr="00F51948">
        <w:t>launch</w:t>
      </w:r>
      <w:proofErr w:type="spellEnd"/>
      <w:r w:rsidRPr="00F51948">
        <w:t xml:space="preserve"> a </w:t>
      </w:r>
      <w:proofErr w:type="spellStart"/>
      <w:r w:rsidRPr="00F51948">
        <w:t>version</w:t>
      </w:r>
      <w:proofErr w:type="spellEnd"/>
      <w:r w:rsidRPr="00F51948">
        <w:t xml:space="preserve"> of </w:t>
      </w:r>
      <w:proofErr w:type="spellStart"/>
      <w:r w:rsidRPr="00F51948">
        <w:t>the</w:t>
      </w:r>
      <w:proofErr w:type="spellEnd"/>
      <w:r w:rsidRPr="00F51948">
        <w:t xml:space="preserve"> </w:t>
      </w:r>
      <w:proofErr w:type="spellStart"/>
      <w:r w:rsidRPr="00F51948">
        <w:t>tool</w:t>
      </w:r>
      <w:proofErr w:type="spellEnd"/>
      <w:r w:rsidRPr="00F51948">
        <w:t xml:space="preserve"> </w:t>
      </w:r>
      <w:proofErr w:type="spellStart"/>
      <w:r w:rsidRPr="00F51948">
        <w:t>specifically</w:t>
      </w:r>
      <w:proofErr w:type="spellEnd"/>
      <w:r w:rsidRPr="00F51948">
        <w:t xml:space="preserve"> </w:t>
      </w:r>
      <w:proofErr w:type="spellStart"/>
      <w:r w:rsidRPr="00F51948">
        <w:t>for</w:t>
      </w:r>
      <w:proofErr w:type="spellEnd"/>
      <w:r w:rsidRPr="00F51948">
        <w:t xml:space="preserve"> </w:t>
      </w:r>
      <w:proofErr w:type="spellStart"/>
      <w:r w:rsidRPr="00F51948">
        <w:t>teachers</w:t>
      </w:r>
      <w:proofErr w:type="spellEnd"/>
      <w:r w:rsidRPr="00F51948">
        <w:t xml:space="preserve">, </w:t>
      </w:r>
      <w:proofErr w:type="spellStart"/>
      <w:r w:rsidRPr="00F51948">
        <w:t>with</w:t>
      </w:r>
      <w:proofErr w:type="spellEnd"/>
      <w:r w:rsidRPr="00F51948">
        <w:t xml:space="preserve"> </w:t>
      </w:r>
      <w:proofErr w:type="spellStart"/>
      <w:r w:rsidRPr="00F51948">
        <w:t>courses</w:t>
      </w:r>
      <w:proofErr w:type="spellEnd"/>
      <w:r w:rsidRPr="00F51948">
        <w:t xml:space="preserve"> on </w:t>
      </w:r>
      <w:proofErr w:type="spellStart"/>
      <w:r w:rsidRPr="00F51948">
        <w:t>managing</w:t>
      </w:r>
      <w:proofErr w:type="spellEnd"/>
      <w:r w:rsidRPr="00F51948">
        <w:t xml:space="preserve"> </w:t>
      </w:r>
      <w:proofErr w:type="spellStart"/>
      <w:r w:rsidRPr="00F51948">
        <w:t>stress</w:t>
      </w:r>
      <w:proofErr w:type="spellEnd"/>
      <w:r w:rsidRPr="00F51948">
        <w:t xml:space="preserve">, </w:t>
      </w:r>
      <w:proofErr w:type="spellStart"/>
      <w:r w:rsidRPr="00F51948">
        <w:t>cross-cultural</w:t>
      </w:r>
      <w:proofErr w:type="spellEnd"/>
      <w:r w:rsidRPr="00F51948">
        <w:t xml:space="preserve"> </w:t>
      </w:r>
      <w:proofErr w:type="spellStart"/>
      <w:r w:rsidRPr="00F51948">
        <w:t>communication</w:t>
      </w:r>
      <w:proofErr w:type="spellEnd"/>
      <w:r w:rsidRPr="00F51948">
        <w:t xml:space="preserve"> </w:t>
      </w:r>
      <w:proofErr w:type="spellStart"/>
      <w:r w:rsidRPr="00F51948">
        <w:t>and</w:t>
      </w:r>
      <w:proofErr w:type="spellEnd"/>
      <w:r w:rsidRPr="00F51948">
        <w:t xml:space="preserve"> </w:t>
      </w:r>
      <w:proofErr w:type="spellStart"/>
      <w:r w:rsidRPr="00F51948">
        <w:t>working</w:t>
      </w:r>
      <w:proofErr w:type="spellEnd"/>
      <w:r w:rsidRPr="00F51948">
        <w:t xml:space="preserve"> </w:t>
      </w:r>
      <w:proofErr w:type="spellStart"/>
      <w:r w:rsidRPr="00F51948">
        <w:t>with</w:t>
      </w:r>
      <w:proofErr w:type="spellEnd"/>
      <w:r w:rsidRPr="00F51948">
        <w:t xml:space="preserve"> </w:t>
      </w:r>
      <w:proofErr w:type="spellStart"/>
      <w:r w:rsidRPr="00F51948">
        <w:t>children</w:t>
      </w:r>
      <w:proofErr w:type="spellEnd"/>
      <w:r w:rsidRPr="00F51948">
        <w:t xml:space="preserve"> </w:t>
      </w:r>
      <w:proofErr w:type="spellStart"/>
      <w:r w:rsidRPr="00F51948">
        <w:t>from</w:t>
      </w:r>
      <w:proofErr w:type="spellEnd"/>
      <w:r w:rsidRPr="00F51948">
        <w:t xml:space="preserve"> </w:t>
      </w:r>
      <w:proofErr w:type="spellStart"/>
      <w:r w:rsidRPr="00F51948">
        <w:t>Ukraine</w:t>
      </w:r>
      <w:proofErr w:type="spellEnd"/>
      <w:r w:rsidRPr="00F51948">
        <w:t xml:space="preserve"> </w:t>
      </w:r>
      <w:proofErr w:type="spellStart"/>
      <w:r w:rsidRPr="00F51948">
        <w:t>who</w:t>
      </w:r>
      <w:proofErr w:type="spellEnd"/>
      <w:r w:rsidRPr="00F51948">
        <w:t xml:space="preserve"> </w:t>
      </w:r>
      <w:proofErr w:type="spellStart"/>
      <w:r w:rsidRPr="00F51948">
        <w:t>are</w:t>
      </w:r>
      <w:proofErr w:type="spellEnd"/>
      <w:r w:rsidRPr="00F51948">
        <w:t xml:space="preserve"> </w:t>
      </w:r>
      <w:proofErr w:type="spellStart"/>
      <w:r w:rsidRPr="00F51948">
        <w:t>suffering</w:t>
      </w:r>
      <w:proofErr w:type="spellEnd"/>
      <w:r w:rsidRPr="00F51948">
        <w:t xml:space="preserve"> </w:t>
      </w:r>
      <w:proofErr w:type="spellStart"/>
      <w:r w:rsidRPr="00F51948">
        <w:t>from</w:t>
      </w:r>
      <w:proofErr w:type="spellEnd"/>
      <w:r w:rsidRPr="00F51948">
        <w:t xml:space="preserve"> </w:t>
      </w:r>
      <w:proofErr w:type="spellStart"/>
      <w:r w:rsidRPr="00F51948">
        <w:t>the</w:t>
      </w:r>
      <w:proofErr w:type="spellEnd"/>
      <w:r w:rsidRPr="00F51948">
        <w:t xml:space="preserve"> </w:t>
      </w:r>
      <w:proofErr w:type="spellStart"/>
      <w:r w:rsidRPr="00F51948">
        <w:t>trauma</w:t>
      </w:r>
      <w:proofErr w:type="spellEnd"/>
      <w:r w:rsidRPr="00F51948">
        <w:t xml:space="preserve"> of </w:t>
      </w:r>
      <w:proofErr w:type="spellStart"/>
      <w:r w:rsidRPr="00F51948">
        <w:t>war</w:t>
      </w:r>
      <w:proofErr w:type="spellEnd"/>
      <w:r w:rsidRPr="00F51948">
        <w:t xml:space="preserve">. </w:t>
      </w:r>
      <w:proofErr w:type="spellStart"/>
      <w:r w:rsidRPr="00F51948">
        <w:t>Launched</w:t>
      </w:r>
      <w:proofErr w:type="spellEnd"/>
      <w:r w:rsidRPr="00F51948">
        <w:t xml:space="preserve"> in 2018 </w:t>
      </w:r>
      <w:proofErr w:type="spellStart"/>
      <w:r w:rsidRPr="00F51948">
        <w:t>and</w:t>
      </w:r>
      <w:proofErr w:type="spellEnd"/>
      <w:r w:rsidRPr="00F51948">
        <w:t xml:space="preserve"> </w:t>
      </w:r>
      <w:proofErr w:type="spellStart"/>
      <w:r w:rsidRPr="00F51948">
        <w:t>now</w:t>
      </w:r>
      <w:proofErr w:type="spellEnd"/>
      <w:r w:rsidRPr="00F51948">
        <w:t xml:space="preserve"> </w:t>
      </w:r>
      <w:proofErr w:type="spellStart"/>
      <w:r w:rsidRPr="00F51948">
        <w:t>present</w:t>
      </w:r>
      <w:proofErr w:type="spellEnd"/>
      <w:r w:rsidRPr="00F51948">
        <w:t xml:space="preserve"> in 32 </w:t>
      </w:r>
      <w:proofErr w:type="spellStart"/>
      <w:r w:rsidRPr="00F51948">
        <w:t>countries</w:t>
      </w:r>
      <w:proofErr w:type="spellEnd"/>
      <w:r w:rsidRPr="00F51948">
        <w:t xml:space="preserve">, Learning Passport </w:t>
      </w:r>
      <w:proofErr w:type="spellStart"/>
      <w:r w:rsidRPr="00F51948">
        <w:t>enables</w:t>
      </w:r>
      <w:proofErr w:type="spellEnd"/>
      <w:r w:rsidRPr="00F51948">
        <w:t xml:space="preserve"> </w:t>
      </w:r>
      <w:proofErr w:type="spellStart"/>
      <w:r w:rsidRPr="00F51948">
        <w:t>children</w:t>
      </w:r>
      <w:proofErr w:type="spellEnd"/>
      <w:r w:rsidRPr="00F51948">
        <w:t xml:space="preserve"> </w:t>
      </w:r>
      <w:proofErr w:type="spellStart"/>
      <w:r w:rsidRPr="00F51948">
        <w:t>and</w:t>
      </w:r>
      <w:proofErr w:type="spellEnd"/>
      <w:r w:rsidRPr="00F51948">
        <w:t xml:space="preserve"> </w:t>
      </w:r>
      <w:proofErr w:type="spellStart"/>
      <w:r w:rsidRPr="00F51948">
        <w:t>young</w:t>
      </w:r>
      <w:proofErr w:type="spellEnd"/>
      <w:r w:rsidRPr="00F51948">
        <w:t xml:space="preserve"> </w:t>
      </w:r>
      <w:proofErr w:type="spellStart"/>
      <w:r w:rsidRPr="00F51948">
        <w:t>people</w:t>
      </w:r>
      <w:proofErr w:type="spellEnd"/>
      <w:r w:rsidRPr="00F51948">
        <w:t xml:space="preserve">, </w:t>
      </w:r>
      <w:proofErr w:type="spellStart"/>
      <w:r w:rsidRPr="00F51948">
        <w:t>including</w:t>
      </w:r>
      <w:proofErr w:type="spellEnd"/>
      <w:r w:rsidRPr="00F51948">
        <w:t xml:space="preserve"> </w:t>
      </w:r>
      <w:proofErr w:type="spellStart"/>
      <w:r w:rsidRPr="00F51948">
        <w:t>those</w:t>
      </w:r>
      <w:proofErr w:type="spellEnd"/>
      <w:r w:rsidRPr="00F51948">
        <w:t xml:space="preserve"> in </w:t>
      </w:r>
      <w:proofErr w:type="spellStart"/>
      <w:r w:rsidRPr="00F51948">
        <w:t>displaced</w:t>
      </w:r>
      <w:proofErr w:type="spellEnd"/>
      <w:r w:rsidRPr="00F51948">
        <w:t xml:space="preserve"> </w:t>
      </w:r>
      <w:proofErr w:type="spellStart"/>
      <w:r w:rsidRPr="00F51948">
        <w:t>or</w:t>
      </w:r>
      <w:proofErr w:type="spellEnd"/>
      <w:r w:rsidRPr="00F51948">
        <w:t xml:space="preserve"> </w:t>
      </w:r>
      <w:proofErr w:type="spellStart"/>
      <w:r w:rsidRPr="00F51948">
        <w:t>crisis-affected</w:t>
      </w:r>
      <w:proofErr w:type="spellEnd"/>
      <w:r w:rsidRPr="00F51948">
        <w:t xml:space="preserve"> </w:t>
      </w:r>
      <w:proofErr w:type="spellStart"/>
      <w:r w:rsidRPr="00F51948">
        <w:t>communities</w:t>
      </w:r>
      <w:proofErr w:type="spellEnd"/>
      <w:r w:rsidRPr="00F51948">
        <w:t xml:space="preserve">, </w:t>
      </w:r>
      <w:proofErr w:type="spellStart"/>
      <w:r w:rsidRPr="00F51948">
        <w:t>to</w:t>
      </w:r>
      <w:proofErr w:type="spellEnd"/>
      <w:r w:rsidRPr="00F51948">
        <w:t xml:space="preserve"> </w:t>
      </w:r>
      <w:proofErr w:type="spellStart"/>
      <w:r w:rsidRPr="00F51948">
        <w:t>access</w:t>
      </w:r>
      <w:proofErr w:type="spellEnd"/>
      <w:r w:rsidRPr="00F51948">
        <w:t xml:space="preserve"> </w:t>
      </w:r>
      <w:proofErr w:type="spellStart"/>
      <w:r w:rsidRPr="00F51948">
        <w:t>quality</w:t>
      </w:r>
      <w:proofErr w:type="spellEnd"/>
      <w:r w:rsidRPr="00F51948">
        <w:t xml:space="preserve"> </w:t>
      </w:r>
      <w:proofErr w:type="spellStart"/>
      <w:r w:rsidRPr="00F51948">
        <w:t>inclusive</w:t>
      </w:r>
      <w:proofErr w:type="spellEnd"/>
      <w:r w:rsidRPr="00F51948">
        <w:t xml:space="preserve"> </w:t>
      </w:r>
      <w:proofErr w:type="spellStart"/>
      <w:r w:rsidRPr="00F51948">
        <w:t>education</w:t>
      </w:r>
      <w:proofErr w:type="spellEnd"/>
      <w:r w:rsidRPr="00F51948">
        <w:t xml:space="preserve"> </w:t>
      </w:r>
      <w:proofErr w:type="spellStart"/>
      <w:r w:rsidRPr="00F51948">
        <w:t>and</w:t>
      </w:r>
      <w:proofErr w:type="spellEnd"/>
      <w:r w:rsidRPr="00F51948">
        <w:t xml:space="preserve"> </w:t>
      </w:r>
      <w:proofErr w:type="spellStart"/>
      <w:r w:rsidRPr="00F51948">
        <w:t>build</w:t>
      </w:r>
      <w:proofErr w:type="spellEnd"/>
      <w:r w:rsidRPr="00F51948">
        <w:t xml:space="preserve"> </w:t>
      </w:r>
      <w:proofErr w:type="spellStart"/>
      <w:r w:rsidRPr="00F51948">
        <w:t>the</w:t>
      </w:r>
      <w:proofErr w:type="spellEnd"/>
      <w:r w:rsidRPr="00F51948">
        <w:t xml:space="preserve"> </w:t>
      </w:r>
      <w:proofErr w:type="spellStart"/>
      <w:r w:rsidRPr="00F51948">
        <w:t>skills</w:t>
      </w:r>
      <w:proofErr w:type="spellEnd"/>
      <w:r w:rsidRPr="00F51948">
        <w:t xml:space="preserve"> </w:t>
      </w:r>
      <w:proofErr w:type="spellStart"/>
      <w:r w:rsidRPr="00F51948">
        <w:t>they</w:t>
      </w:r>
      <w:proofErr w:type="spellEnd"/>
      <w:r w:rsidRPr="00F51948">
        <w:t xml:space="preserve"> </w:t>
      </w:r>
      <w:proofErr w:type="spellStart"/>
      <w:r w:rsidRPr="00F51948">
        <w:t>need</w:t>
      </w:r>
      <w:proofErr w:type="spellEnd"/>
      <w:r w:rsidRPr="00F51948">
        <w:t xml:space="preserve"> </w:t>
      </w:r>
      <w:proofErr w:type="spellStart"/>
      <w:r w:rsidRPr="00F51948">
        <w:t>for</w:t>
      </w:r>
      <w:proofErr w:type="spellEnd"/>
      <w:r w:rsidRPr="00F51948">
        <w:t xml:space="preserve"> a </w:t>
      </w:r>
      <w:proofErr w:type="spellStart"/>
      <w:r w:rsidRPr="00F51948">
        <w:t>brighter</w:t>
      </w:r>
      <w:proofErr w:type="spellEnd"/>
      <w:r w:rsidRPr="00F51948">
        <w:t xml:space="preserve"> </w:t>
      </w:r>
      <w:proofErr w:type="spellStart"/>
      <w:r w:rsidRPr="00F51948">
        <w:t>future</w:t>
      </w:r>
      <w:proofErr w:type="spellEnd"/>
      <w:r w:rsidRPr="00F51948">
        <w:t>.</w:t>
      </w:r>
    </w:p>
    <w:p w:rsidR="00F51948" w:rsidRPr="00F51948" w:rsidRDefault="00F51948" w:rsidP="00F51948">
      <w:pPr>
        <w:pStyle w:val="GvdeMetni"/>
        <w:ind w:left="0"/>
        <w:contextualSpacing/>
        <w:jc w:val="both"/>
        <w:rPr>
          <w:shd w:val="clear" w:color="auto" w:fill="FFFFFF"/>
        </w:rPr>
      </w:pPr>
    </w:p>
    <w:p w:rsidR="00F51948" w:rsidRPr="00F51948" w:rsidRDefault="00F51948" w:rsidP="00F51948">
      <w:pPr>
        <w:pStyle w:val="GvdeMetni"/>
        <w:ind w:left="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As Poland, w</w:t>
      </w:r>
      <w:r w:rsidRPr="00F51948">
        <w:rPr>
          <w:shd w:val="clear" w:color="auto" w:fill="FFFFFF"/>
        </w:rPr>
        <w:t xml:space="preserve">e believe that each of the mentioned problems can be solved in two ways: on an ad hoc basis – through recovery policies and programs, and in the long term – through raising self-awareness and a sense of global community by providing the necessary knowledge and tools to regions of the world that need support. This bottom-up proposal also helps in tackling such problems </w:t>
      </w:r>
      <w:proofErr w:type="gramStart"/>
      <w:r w:rsidRPr="00F51948">
        <w:rPr>
          <w:shd w:val="clear" w:color="auto" w:fill="FFFFFF"/>
        </w:rPr>
        <w:t>as  migration</w:t>
      </w:r>
      <w:proofErr w:type="gramEnd"/>
      <w:r w:rsidRPr="00F51948">
        <w:rPr>
          <w:shd w:val="clear" w:color="auto" w:fill="FFFFFF"/>
        </w:rPr>
        <w:t>, climate change, and economic crisis after the pandemic.</w:t>
      </w:r>
      <w:r w:rsidRPr="00F51948">
        <w:t xml:space="preserve"> We can provide financial and moral </w:t>
      </w:r>
      <w:proofErr w:type="spellStart"/>
      <w:r w:rsidRPr="00F51948">
        <w:t>support</w:t>
      </w:r>
      <w:proofErr w:type="gramStart"/>
      <w:r w:rsidRPr="00F51948">
        <w:t>,increase</w:t>
      </w:r>
      <w:proofErr w:type="spellEnd"/>
      <w:proofErr w:type="gramEnd"/>
      <w:r w:rsidRPr="00F51948">
        <w:t xml:space="preserve"> investment in science, technology, engineering, and mathematics (STEM) to build a qualified workforce in these </w:t>
      </w:r>
      <w:proofErr w:type="spellStart"/>
      <w:r w:rsidRPr="00F51948">
        <w:t>areas,provide</w:t>
      </w:r>
      <w:proofErr w:type="spellEnd"/>
      <w:r w:rsidRPr="00F51948">
        <w:t xml:space="preserve"> scholarships and financial assistance to disadvantaged families to prevent dropouts</w:t>
      </w:r>
      <w:r w:rsidRPr="00F51948">
        <w:rPr>
          <w:shd w:val="clear" w:color="auto" w:fill="FFFFFF"/>
        </w:rPr>
        <w:t>.</w:t>
      </w:r>
    </w:p>
    <w:p w:rsidR="00F51948" w:rsidRPr="00F51948" w:rsidRDefault="00F51948" w:rsidP="00F51948">
      <w:pPr>
        <w:pStyle w:val="GvdeMetni"/>
        <w:spacing w:before="194"/>
        <w:ind w:left="0" w:right="114"/>
        <w:contextualSpacing/>
        <w:jc w:val="both"/>
      </w:pPr>
    </w:p>
    <w:p w:rsidR="00F51948" w:rsidRPr="00F51948" w:rsidRDefault="00F51948" w:rsidP="00F51948">
      <w:pPr>
        <w:pStyle w:val="GvdeMetni"/>
        <w:spacing w:before="194"/>
        <w:ind w:left="0" w:right="114"/>
        <w:contextualSpacing/>
        <w:jc w:val="both"/>
      </w:pPr>
    </w:p>
    <w:p w:rsidR="00F51948" w:rsidRPr="00F51948" w:rsidRDefault="00F51948" w:rsidP="00F51948">
      <w:pPr>
        <w:pStyle w:val="GvdeMetni"/>
        <w:spacing w:before="194"/>
        <w:ind w:left="0" w:right="114"/>
        <w:contextualSpacing/>
        <w:jc w:val="both"/>
      </w:pPr>
      <w:r w:rsidRPr="00F51948">
        <w:t xml:space="preserve">Source: </w:t>
      </w:r>
    </w:p>
    <w:p w:rsidR="00F51948" w:rsidRPr="00F51948" w:rsidRDefault="00F51948" w:rsidP="00F51948">
      <w:pPr>
        <w:pStyle w:val="GvdeMetni"/>
        <w:spacing w:before="194"/>
        <w:ind w:left="0" w:right="114"/>
        <w:contextualSpacing/>
        <w:jc w:val="both"/>
      </w:pPr>
    </w:p>
    <w:p w:rsidR="00F51948" w:rsidRPr="00F51948" w:rsidRDefault="002437F8" w:rsidP="00F51948">
      <w:pPr>
        <w:pStyle w:val="GvdeMetni"/>
        <w:spacing w:before="194"/>
        <w:ind w:left="0" w:right="114"/>
        <w:contextualSpacing/>
        <w:jc w:val="both"/>
      </w:pPr>
      <w:hyperlink r:id="rId14" w:history="1">
        <w:r w:rsidR="00F51948" w:rsidRPr="00F51948">
          <w:rPr>
            <w:rStyle w:val="Kpr"/>
            <w:color w:val="auto"/>
            <w:u w:val="none"/>
          </w:rPr>
          <w:t>https://study.gov.pl/news/how-increase-access-education-world-there-suggestion-polish-students</w:t>
        </w:r>
      </w:hyperlink>
    </w:p>
    <w:p w:rsidR="00F51948" w:rsidRPr="00F51948" w:rsidRDefault="002437F8" w:rsidP="00F51948">
      <w:pPr>
        <w:pStyle w:val="GvdeMetni"/>
        <w:spacing w:before="194"/>
        <w:ind w:left="0" w:right="114"/>
        <w:contextualSpacing/>
        <w:jc w:val="both"/>
      </w:pPr>
      <w:hyperlink r:id="rId15" w:history="1">
        <w:r w:rsidR="00F51948" w:rsidRPr="00F51948">
          <w:rPr>
            <w:rStyle w:val="Kpr"/>
            <w:color w:val="auto"/>
            <w:u w:val="none"/>
          </w:rPr>
          <w:t>https://www.unicef.org/eca/press-releases/global-e-learning-platform-launched-poland-support-inclusion-refugees-and-mental</w:t>
        </w:r>
      </w:hyperlink>
    </w:p>
    <w:p w:rsidR="00F51948" w:rsidRPr="00F51948" w:rsidRDefault="00F51948" w:rsidP="00F51948">
      <w:pPr>
        <w:pStyle w:val="GvdeMetni"/>
        <w:spacing w:before="194"/>
        <w:ind w:right="114" w:firstLine="120"/>
        <w:contextualSpacing/>
        <w:jc w:val="both"/>
      </w:pPr>
    </w:p>
    <w:p w:rsidR="00F51948" w:rsidRPr="00F51948" w:rsidRDefault="00F51948" w:rsidP="00F51948">
      <w:pPr>
        <w:pStyle w:val="GvdeMetni"/>
        <w:spacing w:before="194"/>
        <w:ind w:right="114" w:firstLine="120"/>
        <w:contextualSpacing/>
        <w:jc w:val="both"/>
      </w:pPr>
    </w:p>
    <w:p w:rsidR="00F51948" w:rsidRPr="00F51948" w:rsidRDefault="00F51948" w:rsidP="00F51948">
      <w:pPr>
        <w:pStyle w:val="GvdeMetni"/>
        <w:spacing w:before="194"/>
        <w:ind w:right="114" w:firstLine="120"/>
        <w:contextualSpacing/>
        <w:jc w:val="both"/>
      </w:pPr>
    </w:p>
    <w:p w:rsidR="00F51948" w:rsidRPr="00F51948" w:rsidRDefault="00F51948" w:rsidP="00F51948">
      <w:pPr>
        <w:pStyle w:val="GvdeMetni"/>
        <w:spacing w:before="194"/>
        <w:ind w:left="0" w:right="114"/>
        <w:contextualSpacing/>
        <w:jc w:val="both"/>
      </w:pPr>
    </w:p>
    <w:p w:rsidR="00F51948" w:rsidRPr="00F51948" w:rsidRDefault="00F51948" w:rsidP="00F51948">
      <w:pPr>
        <w:pStyle w:val="GvdeMetni"/>
        <w:spacing w:before="193"/>
        <w:ind w:right="103" w:firstLine="177"/>
        <w:contextualSpacing/>
        <w:jc w:val="both"/>
      </w:pPr>
      <w:r w:rsidRPr="00F51948">
        <w:t xml:space="preserve">       </w:t>
      </w:r>
    </w:p>
    <w:p w:rsidR="00F51948" w:rsidRPr="00F51948" w:rsidRDefault="00F51948" w:rsidP="00F51948">
      <w:pPr>
        <w:pStyle w:val="GvdeMetni"/>
        <w:spacing w:before="193"/>
        <w:ind w:right="103" w:firstLine="177"/>
        <w:contextualSpacing/>
        <w:jc w:val="both"/>
      </w:pPr>
      <w:r w:rsidRPr="00F51948">
        <w:t xml:space="preserve"> </w:t>
      </w:r>
    </w:p>
    <w:p w:rsidR="00F51948" w:rsidRPr="00F51948" w:rsidRDefault="00F51948" w:rsidP="00F51948">
      <w:pPr>
        <w:pStyle w:val="GvdeMetni"/>
        <w:spacing w:before="193"/>
        <w:ind w:right="103" w:firstLine="177"/>
        <w:contextualSpacing/>
        <w:jc w:val="both"/>
      </w:pPr>
    </w:p>
    <w:p w:rsidR="00F62B78" w:rsidRPr="00F51948" w:rsidRDefault="00F62B78" w:rsidP="00F51948">
      <w:pPr>
        <w:contextualSpacing/>
        <w:jc w:val="both"/>
        <w:rPr>
          <w:sz w:val="24"/>
          <w:szCs w:val="24"/>
        </w:rPr>
      </w:pPr>
    </w:p>
    <w:sectPr w:rsidR="00F62B78" w:rsidRPr="00F51948" w:rsidSect="00EE6CEB">
      <w:footerReference w:type="default" r:id="rId16"/>
      <w:pgSz w:w="11910" w:h="16840"/>
      <w:pgMar w:top="720" w:right="720" w:bottom="720" w:left="720" w:header="0" w:footer="10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F8" w:rsidRDefault="002437F8">
      <w:r>
        <w:separator/>
      </w:r>
    </w:p>
  </w:endnote>
  <w:endnote w:type="continuationSeparator" w:id="0">
    <w:p w:rsidR="002437F8" w:rsidRDefault="0024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D3" w:rsidRDefault="00F51948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9897745</wp:posOffset>
              </wp:positionV>
              <wp:extent cx="184150" cy="182245"/>
              <wp:effectExtent l="1270" t="127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AD3" w:rsidRDefault="00F51948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291.1pt;margin-top:779.35pt;width:14.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" filled="f" stroked="f">
              <v:textbox inset="0,0,0,0">
                <w:txbxContent>
                  <w:p w:rsidR="00F47AD3" w:rsidRDefault="00F51948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F8" w:rsidRDefault="002437F8">
      <w:r>
        <w:separator/>
      </w:r>
    </w:p>
  </w:footnote>
  <w:footnote w:type="continuationSeparator" w:id="0">
    <w:p w:rsidR="002437F8" w:rsidRDefault="0024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48"/>
    <w:rsid w:val="002437F8"/>
    <w:rsid w:val="00EE6CEB"/>
    <w:rsid w:val="00F51948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142049-129E-405E-AE0B-70B63FC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1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51948"/>
    <w:pPr>
      <w:spacing w:before="124"/>
      <w:ind w:left="1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519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F51948"/>
    <w:pPr>
      <w:ind w:left="115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19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F51948"/>
    <w:rPr>
      <w:color w:val="0000FF"/>
      <w:u w:val="single"/>
    </w:rPr>
  </w:style>
  <w:style w:type="character" w:customStyle="1" w:styleId="cite-bracket">
    <w:name w:val="cite-bracket"/>
    <w:basedOn w:val="VarsaylanParagrafYazTipi"/>
    <w:rsid w:val="00F51948"/>
  </w:style>
  <w:style w:type="paragraph" w:styleId="NormalWeb">
    <w:name w:val="Normal (Web)"/>
    <w:basedOn w:val="Normal"/>
    <w:uiPriority w:val="99"/>
    <w:unhideWhenUsed/>
    <w:rsid w:val="00F5194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entral_Europe" TargetMode="External"/><Relationship Id="rId13" Type="http://schemas.openxmlformats.org/officeDocument/2006/relationships/hyperlink" Target="https://en.wikipedia.org/wiki/Warsa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Poland" TargetMode="External"/><Relationship Id="rId12" Type="http://schemas.openxmlformats.org/officeDocument/2006/relationships/hyperlink" Target="https://en.wikipedia.org/wiki/List_of_cities_and_towns_in_Polan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List_of_European_countries_by_are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nicef.org/eca/press-releases/global-e-learning-platform-launched-poland-support-inclusion-refugees-and-mental" TargetMode="External"/><Relationship Id="rId10" Type="http://schemas.openxmlformats.org/officeDocument/2006/relationships/hyperlink" Target="https://en.wikipedia.org/wiki/Member_state_of_the_European_Un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Voivodeships_of_Poland" TargetMode="External"/><Relationship Id="rId14" Type="http://schemas.openxmlformats.org/officeDocument/2006/relationships/hyperlink" Target="https://study.gov.pl/news/how-increase-access-education-world-there-suggestion-polish-student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tahta</dc:creator>
  <cp:keywords/>
  <dc:description/>
  <cp:lastModifiedBy>tahta</cp:lastModifiedBy>
  <cp:revision>2</cp:revision>
  <dcterms:created xsi:type="dcterms:W3CDTF">2024-12-17T07:51:00Z</dcterms:created>
  <dcterms:modified xsi:type="dcterms:W3CDTF">2024-12-17T08:14:00Z</dcterms:modified>
</cp:coreProperties>
</file>