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D0" w:rsidRPr="004A3DD0" w:rsidRDefault="00121911" w:rsidP="0026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D35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1D35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6A2E82B1" wp14:editId="1558A502">
            <wp:simplePos x="0" y="0"/>
            <wp:positionH relativeFrom="column">
              <wp:posOffset>4143375</wp:posOffset>
            </wp:positionH>
            <wp:positionV relativeFrom="paragraph">
              <wp:posOffset>-304800</wp:posOffset>
            </wp:positionV>
            <wp:extent cx="2026920" cy="1238250"/>
            <wp:effectExtent l="133350" t="114300" r="144780" b="17145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Finland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238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A3DD0" w:rsidRPr="00707420">
        <w:rPr>
          <w:rFonts w:ascii="Times New Roman" w:hAnsi="Times New Roman" w:cs="Times New Roman"/>
          <w:bCs/>
          <w:color w:val="001D35"/>
          <w:sz w:val="24"/>
          <w:szCs w:val="24"/>
        </w:rPr>
        <w:t>Committee</w:t>
      </w:r>
      <w:proofErr w:type="spellEnd"/>
      <w:r w:rsidR="004A3DD0" w:rsidRPr="00707420">
        <w:rPr>
          <w:rFonts w:ascii="Times New Roman" w:hAnsi="Times New Roman" w:cs="Times New Roman"/>
          <w:bCs/>
          <w:color w:val="001D35"/>
          <w:sz w:val="24"/>
          <w:szCs w:val="24"/>
        </w:rPr>
        <w:t>:</w:t>
      </w:r>
      <w:r w:rsidR="004A3DD0" w:rsidRPr="004A3DD0">
        <w:rPr>
          <w:rFonts w:ascii="Times New Roman" w:hAnsi="Times New Roman" w:cs="Times New Roman"/>
          <w:b/>
          <w:bCs/>
          <w:color w:val="001D35"/>
          <w:sz w:val="24"/>
          <w:szCs w:val="24"/>
        </w:rPr>
        <w:t xml:space="preserve"> </w:t>
      </w:r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>UNESCO</w:t>
      </w:r>
    </w:p>
    <w:p w:rsidR="004A3DD0" w:rsidRDefault="005805DE" w:rsidP="0026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D35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1D35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color w:val="001D35"/>
          <w:sz w:val="24"/>
          <w:szCs w:val="24"/>
        </w:rPr>
        <w:t xml:space="preserve">: </w:t>
      </w:r>
      <w:bookmarkStart w:id="0" w:name="_GoBack"/>
      <w:proofErr w:type="spellStart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>Ethical</w:t>
      </w:r>
      <w:proofErr w:type="spellEnd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 xml:space="preserve"> </w:t>
      </w:r>
      <w:proofErr w:type="spellStart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>Implications</w:t>
      </w:r>
      <w:proofErr w:type="spellEnd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 xml:space="preserve"> of </w:t>
      </w:r>
      <w:proofErr w:type="spellStart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>Artificial</w:t>
      </w:r>
      <w:proofErr w:type="spellEnd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 xml:space="preserve"> </w:t>
      </w:r>
      <w:proofErr w:type="spellStart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>Intelligence</w:t>
      </w:r>
      <w:proofErr w:type="spellEnd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 xml:space="preserve"> </w:t>
      </w:r>
      <w:proofErr w:type="spellStart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>In</w:t>
      </w:r>
      <w:proofErr w:type="spellEnd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 xml:space="preserve"> </w:t>
      </w:r>
      <w:proofErr w:type="spellStart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>Education</w:t>
      </w:r>
      <w:proofErr w:type="spellEnd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 xml:space="preserve"> </w:t>
      </w:r>
      <w:proofErr w:type="spellStart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>and</w:t>
      </w:r>
      <w:proofErr w:type="spellEnd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 xml:space="preserve"> </w:t>
      </w:r>
      <w:proofErr w:type="spellStart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color w:val="001D35"/>
          <w:sz w:val="24"/>
          <w:szCs w:val="24"/>
        </w:rPr>
        <w:t xml:space="preserve"> </w:t>
      </w:r>
      <w:proofErr w:type="spellStart"/>
      <w:r w:rsidR="004A3DD0" w:rsidRPr="004A3DD0">
        <w:rPr>
          <w:rFonts w:ascii="Times New Roman" w:hAnsi="Times New Roman" w:cs="Times New Roman"/>
          <w:color w:val="001D35"/>
          <w:sz w:val="24"/>
          <w:szCs w:val="24"/>
        </w:rPr>
        <w:t>Preservation</w:t>
      </w:r>
      <w:bookmarkEnd w:id="0"/>
      <w:proofErr w:type="spellEnd"/>
    </w:p>
    <w:p w:rsidR="00707420" w:rsidRPr="0018230B" w:rsidRDefault="00707420" w:rsidP="0070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D35"/>
          <w:sz w:val="24"/>
          <w:szCs w:val="24"/>
        </w:rPr>
      </w:pPr>
      <w:r w:rsidRPr="00707420">
        <w:rPr>
          <w:rFonts w:ascii="Times New Roman" w:hAnsi="Times New Roman" w:cs="Times New Roman"/>
          <w:bCs/>
          <w:color w:val="001D35"/>
          <w:sz w:val="24"/>
          <w:szCs w:val="24"/>
        </w:rPr>
        <w:t>Country:</w:t>
      </w:r>
      <w:r w:rsidRPr="004A3DD0">
        <w:rPr>
          <w:rFonts w:ascii="Times New Roman" w:hAnsi="Times New Roman" w:cs="Times New Roman"/>
          <w:b/>
          <w:bCs/>
          <w:color w:val="001D35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001D35"/>
          <w:sz w:val="24"/>
          <w:szCs w:val="24"/>
        </w:rPr>
        <w:t>Finland</w:t>
      </w:r>
      <w:proofErr w:type="spellEnd"/>
    </w:p>
    <w:p w:rsidR="00707420" w:rsidRPr="004A3DD0" w:rsidRDefault="00707420" w:rsidP="0026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D35"/>
          <w:sz w:val="24"/>
          <w:szCs w:val="24"/>
        </w:rPr>
      </w:pPr>
    </w:p>
    <w:p w:rsidR="004A3DD0" w:rsidRDefault="004A3DD0" w:rsidP="0026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</w:p>
    <w:p w:rsidR="004A3DD0" w:rsidRPr="004A3DD0" w:rsidRDefault="004A3DD0" w:rsidP="00C4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Finland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is a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country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located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in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Scandina</w:t>
      </w:r>
      <w:r w:rsidR="0018230B">
        <w:rPr>
          <w:rFonts w:ascii="Times New Roman" w:hAnsi="Times New Roman" w:cs="Times New Roman"/>
          <w:color w:val="1C1C1C"/>
          <w:sz w:val="24"/>
          <w:szCs w:val="24"/>
        </w:rPr>
        <w:t>via</w:t>
      </w:r>
      <w:proofErr w:type="spellEnd"/>
      <w:r w:rsidR="0018230B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18230B">
        <w:rPr>
          <w:rFonts w:ascii="Times New Roman" w:hAnsi="Times New Roman" w:cs="Times New Roman"/>
          <w:color w:val="1C1C1C"/>
          <w:sz w:val="24"/>
          <w:szCs w:val="24"/>
        </w:rPr>
        <w:t>that</w:t>
      </w:r>
      <w:proofErr w:type="spellEnd"/>
      <w:r w:rsidR="0018230B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18230B">
        <w:rPr>
          <w:rFonts w:ascii="Times New Roman" w:hAnsi="Times New Roman" w:cs="Times New Roman"/>
          <w:color w:val="1C1C1C"/>
          <w:sz w:val="24"/>
          <w:szCs w:val="24"/>
        </w:rPr>
        <w:t>borders</w:t>
      </w:r>
      <w:proofErr w:type="spellEnd"/>
      <w:r w:rsidR="0018230B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18230B">
        <w:rPr>
          <w:rFonts w:ascii="Times New Roman" w:hAnsi="Times New Roman" w:cs="Times New Roman"/>
          <w:color w:val="1C1C1C"/>
          <w:sz w:val="24"/>
          <w:szCs w:val="24"/>
        </w:rPr>
        <w:t>Russia</w:t>
      </w:r>
      <w:proofErr w:type="spellEnd"/>
      <w:r w:rsidR="0018230B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18230B">
        <w:rPr>
          <w:rFonts w:ascii="Times New Roman" w:hAnsi="Times New Roman" w:cs="Times New Roman"/>
          <w:color w:val="1C1C1C"/>
          <w:sz w:val="24"/>
          <w:szCs w:val="24"/>
        </w:rPr>
        <w:t>to</w:t>
      </w:r>
      <w:proofErr w:type="spellEnd"/>
      <w:r w:rsidR="0018230B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18230B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="0018230B">
        <w:rPr>
          <w:rFonts w:ascii="Times New Roman" w:hAnsi="Times New Roman" w:cs="Times New Roman"/>
          <w:color w:val="1C1C1C"/>
          <w:sz w:val="24"/>
          <w:szCs w:val="24"/>
        </w:rPr>
        <w:t xml:space="preserve"> E</w:t>
      </w:r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ast,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Norway</w:t>
      </w:r>
      <w:proofErr w:type="spellEnd"/>
    </w:p>
    <w:p w:rsidR="004A3DD0" w:rsidRPr="004A3DD0" w:rsidRDefault="004A3DD0" w:rsidP="00C4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to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North,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and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Sweden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to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Northwest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.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It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has a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rich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cultural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gram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background</w:t>
      </w:r>
      <w:proofErr w:type="gram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and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has</w:t>
      </w:r>
      <w:r w:rsidR="00C43F6D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developed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a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pioneering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education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system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.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Finland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declared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its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full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independence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in</w:t>
      </w:r>
      <w:r w:rsidR="00C43F6D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1917.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country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of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Finland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is a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member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of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several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international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organizations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>,</w:t>
      </w:r>
      <w:r w:rsidR="00C43F6D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including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United Nations,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Nordic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Council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Schengen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Area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Council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of</w:t>
      </w:r>
      <w:r w:rsidR="00C43F6D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Europe,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World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Trade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Organization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and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Organisation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for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Economic</w:t>
      </w:r>
      <w:proofErr w:type="spellEnd"/>
      <w:r w:rsidR="00C43F6D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Co-operation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and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Development (OECD).</w:t>
      </w:r>
    </w:p>
    <w:p w:rsidR="004A3DD0" w:rsidRDefault="004A3DD0" w:rsidP="00C4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</w:p>
    <w:p w:rsidR="004A3DD0" w:rsidRPr="004A3DD0" w:rsidRDefault="004A3DD0" w:rsidP="00C4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In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terms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of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Artificial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Intelligence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(AI),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Finland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aims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to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position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itself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as a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leading</w:t>
      </w:r>
      <w:proofErr w:type="spellEnd"/>
      <w:r w:rsidR="00C43F6D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country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.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Finnish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Government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has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invested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heavily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in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several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flagship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policies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>,</w:t>
      </w:r>
      <w:r w:rsidR="00C43F6D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including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AI Business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Programme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which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has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been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assigned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EUR 100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million</w:t>
      </w:r>
      <w:proofErr w:type="spellEnd"/>
      <w:r w:rsidR="00C43F6D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over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four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years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and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Finnish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Centre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for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Artificial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Intelligence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(FCAI),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which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was</w:t>
      </w:r>
      <w:proofErr w:type="spellEnd"/>
      <w:r w:rsidR="00C43F6D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granted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EUR </w:t>
      </w:r>
      <w:proofErr w:type="gram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8.3</w:t>
      </w:r>
      <w:proofErr w:type="gram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million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in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flagship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funding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for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2019–2022.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Finland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recommends</w:t>
      </w:r>
      <w:proofErr w:type="spellEnd"/>
      <w:r w:rsidR="00C43F6D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teaching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AI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literacy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across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country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to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ensure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that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everyone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has a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basic</w:t>
      </w:r>
      <w:proofErr w:type="spellEnd"/>
      <w:r w:rsidR="00C43F6D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understanding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of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this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technology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.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Finland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thinks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that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color w:val="1C1C1C"/>
          <w:sz w:val="24"/>
          <w:szCs w:val="24"/>
        </w:rPr>
        <w:t>MOOCs</w:t>
      </w:r>
      <w:proofErr w:type="spellEnd"/>
      <w:r w:rsidRPr="004A3DD0">
        <w:rPr>
          <w:rFonts w:ascii="Times New Roman" w:hAnsi="Times New Roman" w:cs="Times New Roman"/>
          <w:color w:val="1C1C1C"/>
          <w:sz w:val="24"/>
          <w:szCs w:val="24"/>
        </w:rPr>
        <w:t xml:space="preserve"> (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Massive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DD0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C4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) in AI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programming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4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Finnish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encourage</w:t>
      </w:r>
      <w:proofErr w:type="spellEnd"/>
    </w:p>
    <w:p w:rsidR="004A3DD0" w:rsidRPr="004A3DD0" w:rsidRDefault="004A3DD0" w:rsidP="00C4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D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in AI. </w:t>
      </w:r>
    </w:p>
    <w:p w:rsidR="004A3DD0" w:rsidRPr="004A3DD0" w:rsidRDefault="004A3DD0" w:rsidP="00C4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DD0" w:rsidRPr="004A3DD0" w:rsidRDefault="004A3DD0" w:rsidP="00C4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D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intangible</w:t>
      </w:r>
      <w:proofErr w:type="spellEnd"/>
      <w:r w:rsidR="00C4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forgotten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of a “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tradition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>”.</w:t>
      </w:r>
      <w:r w:rsidR="00C4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strongly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education’s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path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on</w:t>
      </w:r>
      <w:r w:rsidR="00C4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of AI. Using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generative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AI in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C4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horizon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DD0" w:rsidRPr="004A3DD0" w:rsidRDefault="004A3DD0" w:rsidP="00C4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DD0" w:rsidRPr="004A3DD0" w:rsidRDefault="004A3DD0" w:rsidP="00C4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D0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Finland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="00C4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on an AI-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powered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Finland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="00C4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4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utilisation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4A3DD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4A3DD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>,</w:t>
      </w:r>
      <w:r w:rsidR="00C4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be </w:t>
      </w:r>
      <w:proofErr w:type="gramStart"/>
      <w:r w:rsidRPr="004A3DD0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C4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translate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D0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4A3DD0">
        <w:rPr>
          <w:rFonts w:ascii="Times New Roman" w:hAnsi="Times New Roman" w:cs="Times New Roman"/>
          <w:sz w:val="24"/>
          <w:szCs w:val="24"/>
        </w:rPr>
        <w:t>.</w:t>
      </w:r>
    </w:p>
    <w:p w:rsidR="0018230B" w:rsidRDefault="0018230B" w:rsidP="0026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324B"/>
          <w:sz w:val="24"/>
          <w:szCs w:val="24"/>
        </w:rPr>
      </w:pPr>
    </w:p>
    <w:p w:rsidR="004A3DD0" w:rsidRPr="004A3DD0" w:rsidRDefault="004A3DD0" w:rsidP="0026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324B"/>
          <w:sz w:val="24"/>
          <w:szCs w:val="24"/>
        </w:rPr>
      </w:pPr>
      <w:r w:rsidRPr="004A3DD0">
        <w:rPr>
          <w:rFonts w:ascii="Times New Roman" w:hAnsi="Times New Roman" w:cs="Times New Roman"/>
          <w:b/>
          <w:bCs/>
          <w:color w:val="26324B"/>
          <w:sz w:val="24"/>
          <w:szCs w:val="24"/>
        </w:rPr>
        <w:t>REFERENCES</w:t>
      </w:r>
    </w:p>
    <w:p w:rsidR="004A3DD0" w:rsidRPr="004A3DD0" w:rsidRDefault="004A3DD0" w:rsidP="0026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55CD"/>
          <w:sz w:val="24"/>
          <w:szCs w:val="24"/>
        </w:rPr>
      </w:pPr>
      <w:r w:rsidRPr="004A3DD0">
        <w:rPr>
          <w:rFonts w:ascii="Times New Roman" w:hAnsi="Times New Roman" w:cs="Times New Roman"/>
          <w:color w:val="1155CD"/>
          <w:sz w:val="24"/>
          <w:szCs w:val="24"/>
        </w:rPr>
        <w:t>https://wikipedia.org</w:t>
      </w:r>
    </w:p>
    <w:p w:rsidR="004A3DD0" w:rsidRPr="004A3DD0" w:rsidRDefault="004A3DD0" w:rsidP="0026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55CD"/>
          <w:sz w:val="24"/>
          <w:szCs w:val="24"/>
        </w:rPr>
      </w:pPr>
      <w:r w:rsidRPr="004A3DD0">
        <w:rPr>
          <w:rFonts w:ascii="Times New Roman" w:hAnsi="Times New Roman" w:cs="Times New Roman"/>
          <w:color w:val="1155CD"/>
          <w:sz w:val="24"/>
          <w:szCs w:val="24"/>
        </w:rPr>
        <w:t>https://</w:t>
      </w:r>
      <w:proofErr w:type="gramStart"/>
      <w:r w:rsidRPr="004A3DD0">
        <w:rPr>
          <w:rFonts w:ascii="Times New Roman" w:hAnsi="Times New Roman" w:cs="Times New Roman"/>
          <w:color w:val="1155CD"/>
          <w:sz w:val="24"/>
          <w:szCs w:val="24"/>
        </w:rPr>
        <w:t>julkaisut.valtioneuvosto</w:t>
      </w:r>
      <w:proofErr w:type="gramEnd"/>
      <w:r w:rsidRPr="004A3DD0">
        <w:rPr>
          <w:rFonts w:ascii="Times New Roman" w:hAnsi="Times New Roman" w:cs="Times New Roman"/>
          <w:color w:val="1155CD"/>
          <w:sz w:val="24"/>
          <w:szCs w:val="24"/>
        </w:rPr>
        <w:t>.fi</w:t>
      </w:r>
    </w:p>
    <w:p w:rsidR="005D1113" w:rsidRPr="004A3DD0" w:rsidRDefault="004A3DD0" w:rsidP="00264E8B">
      <w:pPr>
        <w:jc w:val="both"/>
        <w:rPr>
          <w:rFonts w:ascii="Times New Roman" w:hAnsi="Times New Roman" w:cs="Times New Roman"/>
        </w:rPr>
      </w:pPr>
      <w:r w:rsidRPr="004A3DD0">
        <w:rPr>
          <w:rFonts w:ascii="Times New Roman" w:hAnsi="Times New Roman" w:cs="Times New Roman"/>
          <w:color w:val="1155CD"/>
          <w:sz w:val="24"/>
          <w:szCs w:val="24"/>
        </w:rPr>
        <w:t>https://https://ai-watch.ec.europa.eu https://whc.unesco.org/</w:t>
      </w:r>
    </w:p>
    <w:sectPr w:rsidR="005D1113" w:rsidRPr="004A3DD0" w:rsidSect="00C43F6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A7"/>
    <w:rsid w:val="00121911"/>
    <w:rsid w:val="0018230B"/>
    <w:rsid w:val="001A55A7"/>
    <w:rsid w:val="00264E8B"/>
    <w:rsid w:val="004A3DD0"/>
    <w:rsid w:val="005805DE"/>
    <w:rsid w:val="005D1113"/>
    <w:rsid w:val="00707420"/>
    <w:rsid w:val="00C4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2035</Characters>
  <Application>Microsoft Office Word</Application>
  <DocSecurity>0</DocSecurity>
  <Lines>16</Lines>
  <Paragraphs>4</Paragraphs>
  <ScaleCrop>false</ScaleCrop>
  <Company>HP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2024-04-19T10:41:00Z</dcterms:created>
  <dcterms:modified xsi:type="dcterms:W3CDTF">2024-04-24T10:14:00Z</dcterms:modified>
</cp:coreProperties>
</file>