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C9F3997" wp14:paraId="6A002195" wp14:textId="79666754">
      <w:pPr>
        <w:pStyle w:val="Normal"/>
        <w:suppressLineNumbers w:val="0"/>
        <w:bidi w:val="0"/>
        <w:spacing w:before="240" w:beforeAutospacing="off" w:after="240" w:afterAutospacing="off" w:line="279" w:lineRule="auto"/>
        <w:ind w:left="0" w:right="0"/>
        <w:jc w:val="left"/>
        <w:rPr>
          <w:rFonts w:ascii="Aptos" w:hAnsi="Aptos" w:eastAsia="Aptos" w:cs="Aptos"/>
          <w:noProof w:val="0"/>
          <w:sz w:val="24"/>
          <w:szCs w:val="24"/>
          <w:lang w:val="tr-TR"/>
        </w:rPr>
      </w:pPr>
      <w:r w:rsidR="10E07294">
        <w:rPr/>
        <w:t xml:space="preserve">                                                                    </w:t>
      </w:r>
      <w:r w:rsidR="56494414">
        <w:drawing>
          <wp:inline xmlns:wp14="http://schemas.microsoft.com/office/word/2010/wordprocessingDrawing" wp14:editId="68A18BF3" wp14:anchorId="79607F8C">
            <wp:extent cx="1290107" cy="1290107"/>
            <wp:effectExtent l="0" t="0" r="0" b="0"/>
            <wp:docPr id="1078741562" name="" title=""/>
            <wp:cNvGraphicFramePr>
              <a:graphicFrameLocks noChangeAspect="1"/>
            </wp:cNvGraphicFramePr>
            <a:graphic>
              <a:graphicData uri="http://schemas.openxmlformats.org/drawingml/2006/picture">
                <pic:pic>
                  <pic:nvPicPr>
                    <pic:cNvPr id="0" name=""/>
                    <pic:cNvPicPr/>
                  </pic:nvPicPr>
                  <pic:blipFill>
                    <a:blip r:embed="Rcd907629050343b1">
                      <a:extLst>
                        <a:ext xmlns:a="http://schemas.openxmlformats.org/drawingml/2006/main" uri="{28A0092B-C50C-407E-A947-70E740481C1C}">
                          <a14:useLocalDpi val="0"/>
                        </a:ext>
                      </a:extLst>
                    </a:blip>
                    <a:stretch>
                      <a:fillRect/>
                    </a:stretch>
                  </pic:blipFill>
                  <pic:spPr>
                    <a:xfrm>
                      <a:off x="0" y="0"/>
                      <a:ext cx="1290107" cy="1290107"/>
                    </a:xfrm>
                    <a:prstGeom prst="rect">
                      <a:avLst/>
                    </a:prstGeom>
                  </pic:spPr>
                </pic:pic>
              </a:graphicData>
            </a:graphic>
          </wp:inline>
        </w:drawing>
      </w:r>
      <w:r w:rsidR="10E07294">
        <w:rPr/>
        <w:t xml:space="preserve">  </w:t>
      </w:r>
      <w:r w:rsidR="7040EB56">
        <w:rPr/>
        <w:t xml:space="preserve">        </w:t>
      </w:r>
      <w:r w:rsidR="10E07294">
        <w:rPr/>
        <w:t xml:space="preserve">   </w:t>
      </w:r>
      <w:r w:rsidR="10E07294">
        <w:rPr/>
        <w:t xml:space="preserve"> </w:t>
      </w:r>
      <w:r w:rsidR="10E07294">
        <w:drawing>
          <wp:inline xmlns:wp14="http://schemas.microsoft.com/office/word/2010/wordprocessingDrawing" wp14:editId="105EF1AF" wp14:anchorId="705BA011">
            <wp:extent cx="1864783" cy="932392"/>
            <wp:effectExtent l="0" t="0" r="0" b="0"/>
            <wp:docPr id="1805535049" name="" title=""/>
            <wp:cNvGraphicFramePr>
              <a:graphicFrameLocks noChangeAspect="1"/>
            </wp:cNvGraphicFramePr>
            <a:graphic>
              <a:graphicData uri="http://schemas.openxmlformats.org/drawingml/2006/picture">
                <pic:pic>
                  <pic:nvPicPr>
                    <pic:cNvPr id="0" name=""/>
                    <pic:cNvPicPr/>
                  </pic:nvPicPr>
                  <pic:blipFill>
                    <a:blip r:embed="Rcab11cf1435b4d8a">
                      <a:extLst>
                        <a:ext xmlns:a="http://schemas.openxmlformats.org/drawingml/2006/main" uri="{28A0092B-C50C-407E-A947-70E740481C1C}">
                          <a14:useLocalDpi val="0"/>
                        </a:ext>
                      </a:extLst>
                    </a:blip>
                    <a:stretch>
                      <a:fillRect/>
                    </a:stretch>
                  </pic:blipFill>
                  <pic:spPr>
                    <a:xfrm>
                      <a:off x="0" y="0"/>
                      <a:ext cx="1864783" cy="932392"/>
                    </a:xfrm>
                    <a:prstGeom prst="rect">
                      <a:avLst/>
                    </a:prstGeom>
                  </pic:spPr>
                </pic:pic>
              </a:graphicData>
            </a:graphic>
          </wp:inline>
        </w:drawing>
      </w:r>
    </w:p>
    <w:p xmlns:wp14="http://schemas.microsoft.com/office/word/2010/wordml" w:rsidP="4C9F3997" wp14:paraId="369F6006" wp14:textId="693F73C7">
      <w:pPr>
        <w:spacing w:before="240" w:beforeAutospacing="off" w:after="240" w:afterAutospacing="off"/>
        <w:rPr>
          <w:rFonts w:ascii="Calibri" w:hAnsi="Calibri" w:eastAsia="Calibri" w:cs="Calibri"/>
          <w:b w:val="1"/>
          <w:bCs w:val="1"/>
          <w:noProof w:val="0"/>
          <w:sz w:val="24"/>
          <w:szCs w:val="24"/>
          <w:u w:val="none"/>
          <w:lang w:val="tr-TR"/>
        </w:rPr>
      </w:pPr>
    </w:p>
    <w:p xmlns:wp14="http://schemas.microsoft.com/office/word/2010/wordml" w:rsidP="4C9F3997" wp14:paraId="515A027E" wp14:textId="33044173">
      <w:pPr>
        <w:spacing w:before="240" w:beforeAutospacing="off" w:after="240" w:afterAutospacing="off"/>
        <w:rPr>
          <w:rFonts w:ascii="Calibri" w:hAnsi="Calibri" w:eastAsia="Calibri" w:cs="Calibri"/>
          <w:b w:val="1"/>
          <w:bCs w:val="1"/>
          <w:noProof w:val="0"/>
          <w:sz w:val="24"/>
          <w:szCs w:val="24"/>
          <w:u w:val="none"/>
          <w:lang w:val="tr-TR"/>
        </w:rPr>
      </w:pPr>
      <w:r w:rsidRPr="4C9F3997" w:rsidR="2A0A815B">
        <w:rPr>
          <w:rFonts w:ascii="Calibri" w:hAnsi="Calibri" w:eastAsia="Calibri" w:cs="Calibri"/>
          <w:b w:val="1"/>
          <w:bCs w:val="1"/>
          <w:noProof w:val="0"/>
          <w:sz w:val="24"/>
          <w:szCs w:val="24"/>
          <w:u w:val="none"/>
          <w:lang w:val="tr-TR"/>
        </w:rPr>
        <w:t>Committee</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Economic</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a</w:t>
      </w:r>
      <w:r w:rsidRPr="4C9F3997" w:rsidR="2A0A815B">
        <w:rPr>
          <w:rFonts w:ascii="Calibri" w:hAnsi="Calibri" w:eastAsia="Calibri" w:cs="Calibri"/>
          <w:b w:val="1"/>
          <w:bCs w:val="1"/>
          <w:noProof w:val="0"/>
          <w:sz w:val="24"/>
          <w:szCs w:val="24"/>
          <w:u w:val="none"/>
          <w:lang w:val="tr-TR"/>
        </w:rPr>
        <w:t>nd</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S</w:t>
      </w:r>
      <w:r w:rsidRPr="4C9F3997" w:rsidR="2A0A815B">
        <w:rPr>
          <w:rFonts w:ascii="Calibri" w:hAnsi="Calibri" w:eastAsia="Calibri" w:cs="Calibri"/>
          <w:b w:val="1"/>
          <w:bCs w:val="1"/>
          <w:noProof w:val="0"/>
          <w:sz w:val="24"/>
          <w:szCs w:val="24"/>
          <w:u w:val="none"/>
          <w:lang w:val="tr-TR"/>
        </w:rPr>
        <w:t>ocial</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C</w:t>
      </w:r>
      <w:r w:rsidRPr="4C9F3997" w:rsidR="2A0A815B">
        <w:rPr>
          <w:rFonts w:ascii="Calibri" w:hAnsi="Calibri" w:eastAsia="Calibri" w:cs="Calibri"/>
          <w:b w:val="1"/>
          <w:bCs w:val="1"/>
          <w:noProof w:val="0"/>
          <w:sz w:val="24"/>
          <w:szCs w:val="24"/>
          <w:u w:val="none"/>
          <w:lang w:val="tr-TR"/>
        </w:rPr>
        <w:t>ouncil</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(ECOSOC)</w:t>
      </w:r>
      <w:r>
        <w:br/>
      </w:r>
      <w:r w:rsidRPr="4C9F3997" w:rsidR="2A0A815B">
        <w:rPr>
          <w:rFonts w:ascii="Calibri" w:hAnsi="Calibri" w:eastAsia="Calibri" w:cs="Calibri"/>
          <w:b w:val="1"/>
          <w:bCs w:val="1"/>
          <w:noProof w:val="0"/>
          <w:sz w:val="24"/>
          <w:szCs w:val="24"/>
          <w:u w:val="none"/>
          <w:lang w:val="tr-TR"/>
        </w:rPr>
        <w:t xml:space="preserve">Agenda: </w:t>
      </w:r>
      <w:r w:rsidRPr="4C9F3997" w:rsidR="2A0A815B">
        <w:rPr>
          <w:rFonts w:ascii="Calibri" w:hAnsi="Calibri" w:eastAsia="Calibri" w:cs="Calibri"/>
          <w:b w:val="1"/>
          <w:bCs w:val="1"/>
          <w:noProof w:val="0"/>
          <w:sz w:val="24"/>
          <w:szCs w:val="24"/>
          <w:u w:val="none"/>
          <w:lang w:val="tr-TR"/>
        </w:rPr>
        <w:t>P</w:t>
      </w:r>
      <w:r w:rsidRPr="4C9F3997" w:rsidR="2A0A815B">
        <w:rPr>
          <w:rFonts w:ascii="Calibri" w:hAnsi="Calibri" w:eastAsia="Calibri" w:cs="Calibri"/>
          <w:b w:val="1"/>
          <w:bCs w:val="1"/>
          <w:noProof w:val="0"/>
          <w:sz w:val="24"/>
          <w:szCs w:val="24"/>
          <w:u w:val="none"/>
          <w:lang w:val="tr-TR"/>
        </w:rPr>
        <w:t>romoting</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G</w:t>
      </w:r>
      <w:r w:rsidRPr="4C9F3997" w:rsidR="2A0A815B">
        <w:rPr>
          <w:rFonts w:ascii="Calibri" w:hAnsi="Calibri" w:eastAsia="Calibri" w:cs="Calibri"/>
          <w:b w:val="1"/>
          <w:bCs w:val="1"/>
          <w:noProof w:val="0"/>
          <w:sz w:val="24"/>
          <w:szCs w:val="24"/>
          <w:u w:val="none"/>
          <w:lang w:val="tr-TR"/>
        </w:rPr>
        <w:t>reen</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J</w:t>
      </w:r>
      <w:r w:rsidRPr="4C9F3997" w:rsidR="2A0A815B">
        <w:rPr>
          <w:rFonts w:ascii="Calibri" w:hAnsi="Calibri" w:eastAsia="Calibri" w:cs="Calibri"/>
          <w:b w:val="1"/>
          <w:bCs w:val="1"/>
          <w:noProof w:val="0"/>
          <w:sz w:val="24"/>
          <w:szCs w:val="24"/>
          <w:u w:val="none"/>
          <w:lang w:val="tr-TR"/>
        </w:rPr>
        <w:t>obs</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a</w:t>
      </w:r>
      <w:r w:rsidRPr="4C9F3997" w:rsidR="2A0A815B">
        <w:rPr>
          <w:rFonts w:ascii="Calibri" w:hAnsi="Calibri" w:eastAsia="Calibri" w:cs="Calibri"/>
          <w:b w:val="1"/>
          <w:bCs w:val="1"/>
          <w:noProof w:val="0"/>
          <w:sz w:val="24"/>
          <w:szCs w:val="24"/>
          <w:u w:val="none"/>
          <w:lang w:val="tr-TR"/>
        </w:rPr>
        <w:t>nd</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T</w:t>
      </w:r>
      <w:r w:rsidRPr="4C9F3997" w:rsidR="2A0A815B">
        <w:rPr>
          <w:rFonts w:ascii="Calibri" w:hAnsi="Calibri" w:eastAsia="Calibri" w:cs="Calibri"/>
          <w:b w:val="1"/>
          <w:bCs w:val="1"/>
          <w:noProof w:val="0"/>
          <w:sz w:val="24"/>
          <w:szCs w:val="24"/>
          <w:u w:val="none"/>
          <w:lang w:val="tr-TR"/>
        </w:rPr>
        <w:t>ransition</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t</w:t>
      </w:r>
      <w:r w:rsidRPr="4C9F3997" w:rsidR="2A0A815B">
        <w:rPr>
          <w:rFonts w:ascii="Calibri" w:hAnsi="Calibri" w:eastAsia="Calibri" w:cs="Calibri"/>
          <w:b w:val="1"/>
          <w:bCs w:val="1"/>
          <w:noProof w:val="0"/>
          <w:sz w:val="24"/>
          <w:szCs w:val="24"/>
          <w:u w:val="none"/>
          <w:lang w:val="tr-TR"/>
        </w:rPr>
        <w:t>o</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 xml:space="preserve">a </w:t>
      </w:r>
      <w:r w:rsidRPr="4C9F3997" w:rsidR="2A0A815B">
        <w:rPr>
          <w:rFonts w:ascii="Calibri" w:hAnsi="Calibri" w:eastAsia="Calibri" w:cs="Calibri"/>
          <w:b w:val="1"/>
          <w:bCs w:val="1"/>
          <w:noProof w:val="0"/>
          <w:sz w:val="24"/>
          <w:szCs w:val="24"/>
          <w:u w:val="none"/>
          <w:lang w:val="tr-TR"/>
        </w:rPr>
        <w:t>G</w:t>
      </w:r>
      <w:r w:rsidRPr="4C9F3997" w:rsidR="2A0A815B">
        <w:rPr>
          <w:rFonts w:ascii="Calibri" w:hAnsi="Calibri" w:eastAsia="Calibri" w:cs="Calibri"/>
          <w:b w:val="1"/>
          <w:bCs w:val="1"/>
          <w:noProof w:val="0"/>
          <w:sz w:val="24"/>
          <w:szCs w:val="24"/>
          <w:u w:val="none"/>
          <w:lang w:val="tr-TR"/>
        </w:rPr>
        <w:t>reen</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Economy</w:t>
      </w:r>
      <w:r>
        <w:br/>
      </w:r>
      <w:r w:rsidRPr="4C9F3997" w:rsidR="2A0A815B">
        <w:rPr>
          <w:rFonts w:ascii="Calibri" w:hAnsi="Calibri" w:eastAsia="Calibri" w:cs="Calibri"/>
          <w:b w:val="1"/>
          <w:bCs w:val="1"/>
          <w:noProof w:val="0"/>
          <w:sz w:val="24"/>
          <w:szCs w:val="24"/>
          <w:u w:val="none"/>
          <w:lang w:val="tr-TR"/>
        </w:rPr>
        <w:t xml:space="preserve">Country: United </w:t>
      </w:r>
      <w:r w:rsidRPr="4C9F3997" w:rsidR="2A0A815B">
        <w:rPr>
          <w:rFonts w:ascii="Calibri" w:hAnsi="Calibri" w:eastAsia="Calibri" w:cs="Calibri"/>
          <w:b w:val="1"/>
          <w:bCs w:val="1"/>
          <w:noProof w:val="0"/>
          <w:sz w:val="24"/>
          <w:szCs w:val="24"/>
          <w:u w:val="none"/>
          <w:lang w:val="tr-TR"/>
        </w:rPr>
        <w:t>A</w:t>
      </w:r>
      <w:r w:rsidRPr="4C9F3997" w:rsidR="2A0A815B">
        <w:rPr>
          <w:rFonts w:ascii="Calibri" w:hAnsi="Calibri" w:eastAsia="Calibri" w:cs="Calibri"/>
          <w:b w:val="1"/>
          <w:bCs w:val="1"/>
          <w:noProof w:val="0"/>
          <w:sz w:val="24"/>
          <w:szCs w:val="24"/>
          <w:u w:val="none"/>
          <w:lang w:val="tr-TR"/>
        </w:rPr>
        <w:t>rab</w:t>
      </w:r>
      <w:r w:rsidRPr="4C9F3997" w:rsidR="2A0A815B">
        <w:rPr>
          <w:rFonts w:ascii="Calibri" w:hAnsi="Calibri" w:eastAsia="Calibri" w:cs="Calibri"/>
          <w:b w:val="1"/>
          <w:bCs w:val="1"/>
          <w:noProof w:val="0"/>
          <w:sz w:val="24"/>
          <w:szCs w:val="24"/>
          <w:u w:val="none"/>
          <w:lang w:val="tr-TR"/>
        </w:rPr>
        <w:t xml:space="preserve"> </w:t>
      </w:r>
      <w:r w:rsidRPr="4C9F3997" w:rsidR="2A0A815B">
        <w:rPr>
          <w:rFonts w:ascii="Calibri" w:hAnsi="Calibri" w:eastAsia="Calibri" w:cs="Calibri"/>
          <w:b w:val="1"/>
          <w:bCs w:val="1"/>
          <w:noProof w:val="0"/>
          <w:sz w:val="24"/>
          <w:szCs w:val="24"/>
          <w:u w:val="none"/>
          <w:lang w:val="tr-TR"/>
        </w:rPr>
        <w:t>Emirates</w:t>
      </w:r>
    </w:p>
    <w:p xmlns:wp14="http://schemas.microsoft.com/office/word/2010/wordml" w:rsidP="4C9F3997" wp14:paraId="665B7E74" wp14:textId="1E3D4B34">
      <w:pPr>
        <w:rPr>
          <w:rFonts w:ascii="Calibri" w:hAnsi="Calibri" w:eastAsia="Calibri" w:cs="Calibri"/>
          <w:b w:val="0"/>
          <w:bCs w:val="0"/>
          <w:i w:val="0"/>
          <w:iCs w:val="0"/>
          <w:caps w:val="0"/>
          <w:smallCaps w:val="0"/>
          <w:noProof w:val="0"/>
          <w:color w:val="172B4D"/>
          <w:sz w:val="24"/>
          <w:szCs w:val="24"/>
          <w:lang w:val="en-US"/>
        </w:rPr>
      </w:pPr>
      <w:r w:rsidRPr="4C9F3997" w:rsidR="20961B7B">
        <w:rPr>
          <w:rFonts w:ascii="Calibri" w:hAnsi="Calibri" w:eastAsia="Calibri" w:cs="Calibri"/>
          <w:b w:val="0"/>
          <w:bCs w:val="0"/>
          <w:i w:val="0"/>
          <w:iCs w:val="0"/>
          <w:caps w:val="0"/>
          <w:smallCaps w:val="0"/>
          <w:noProof w:val="0"/>
          <w:color w:val="172B4D"/>
          <w:sz w:val="24"/>
          <w:szCs w:val="24"/>
          <w:lang w:val="en-US"/>
        </w:rPr>
        <w:t>Climate change and environmental challenges demand swift action, and the UAE emphasizes the importance of transitioning to a green economy to guarantee long-term economic prosperity. Once predominantly dependent on oil, the UAE has made impressive progress in securing sustainability through strategic reforms, strengthening its role as a pioneer in the green economy.</w:t>
      </w:r>
      <w:r>
        <w:br/>
      </w:r>
      <w:r>
        <w:br/>
      </w:r>
      <w:r w:rsidRPr="4C9F3997" w:rsidR="20961B7B">
        <w:rPr>
          <w:rFonts w:ascii="Calibri" w:hAnsi="Calibri" w:eastAsia="Calibri" w:cs="Calibri"/>
          <w:b w:val="1"/>
          <w:bCs w:val="1"/>
          <w:i w:val="0"/>
          <w:iCs w:val="0"/>
          <w:caps w:val="0"/>
          <w:smallCaps w:val="0"/>
          <w:noProof w:val="0"/>
          <w:color w:val="172B4D"/>
          <w:sz w:val="24"/>
          <w:szCs w:val="24"/>
          <w:lang w:val="en-US"/>
        </w:rPr>
        <w:t xml:space="preserve">The UAE has undertaken significant measures to advance the green economy: </w:t>
      </w:r>
      <w:r>
        <w:br/>
      </w:r>
      <w:r>
        <w:br/>
      </w:r>
      <w:r w:rsidRPr="4C9F3997" w:rsidR="20961B7B">
        <w:rPr>
          <w:rFonts w:ascii="Calibri" w:hAnsi="Calibri" w:eastAsia="Calibri" w:cs="Calibri"/>
          <w:b w:val="1"/>
          <w:bCs w:val="1"/>
          <w:i w:val="0"/>
          <w:iCs w:val="0"/>
          <w:caps w:val="0"/>
          <w:smallCaps w:val="0"/>
          <w:noProof w:val="0"/>
          <w:color w:val="172B4D"/>
          <w:sz w:val="24"/>
          <w:szCs w:val="24"/>
          <w:lang w:val="en-US"/>
        </w:rPr>
        <w:t>Green Economy for Sustainable Development Initiative:</w:t>
      </w:r>
      <w:r w:rsidRPr="4C9F3997" w:rsidR="20961B7B">
        <w:rPr>
          <w:rFonts w:ascii="Calibri" w:hAnsi="Calibri" w:eastAsia="Calibri" w:cs="Calibri"/>
          <w:b w:val="0"/>
          <w:bCs w:val="0"/>
          <w:i w:val="0"/>
          <w:iCs w:val="0"/>
          <w:caps w:val="0"/>
          <w:smallCaps w:val="0"/>
          <w:noProof w:val="0"/>
          <w:color w:val="172B4D"/>
          <w:sz w:val="24"/>
          <w:szCs w:val="24"/>
          <w:lang w:val="en-US"/>
        </w:rPr>
        <w:t xml:space="preserve"> Aims to position the UAE as a global hub for green products and technologies while ensuring environmental sustainability. </w:t>
      </w:r>
      <w:r>
        <w:br/>
      </w:r>
      <w:r w:rsidRPr="4C9F3997" w:rsidR="20961B7B">
        <w:rPr>
          <w:rFonts w:ascii="Calibri" w:hAnsi="Calibri" w:eastAsia="Calibri" w:cs="Calibri"/>
          <w:b w:val="1"/>
          <w:bCs w:val="1"/>
          <w:i w:val="0"/>
          <w:iCs w:val="0"/>
          <w:caps w:val="0"/>
          <w:smallCaps w:val="0"/>
          <w:noProof w:val="0"/>
          <w:color w:val="172B4D"/>
          <w:sz w:val="24"/>
          <w:szCs w:val="24"/>
          <w:lang w:val="en-US"/>
        </w:rPr>
        <w:t>UAE Green Jobs Program: T</w:t>
      </w:r>
      <w:r w:rsidRPr="4C9F3997" w:rsidR="20961B7B">
        <w:rPr>
          <w:rFonts w:ascii="Calibri" w:hAnsi="Calibri" w:eastAsia="Calibri" w:cs="Calibri"/>
          <w:b w:val="0"/>
          <w:bCs w:val="0"/>
          <w:i w:val="0"/>
          <w:iCs w:val="0"/>
          <w:caps w:val="0"/>
          <w:smallCaps w:val="0"/>
          <w:noProof w:val="0"/>
          <w:color w:val="172B4D"/>
          <w:sz w:val="24"/>
          <w:szCs w:val="24"/>
          <w:lang w:val="en-US"/>
        </w:rPr>
        <w:t xml:space="preserve">his program focuses on creating employment opportunities in renewable energy, energy efficiency, sustainable transport, and eco-friendly construction. </w:t>
      </w:r>
      <w:r>
        <w:br/>
      </w:r>
      <w:r>
        <w:br/>
      </w:r>
      <w:r w:rsidRPr="4C9F3997" w:rsidR="20961B7B">
        <w:rPr>
          <w:rFonts w:ascii="Calibri" w:hAnsi="Calibri" w:eastAsia="Calibri" w:cs="Calibri"/>
          <w:b w:val="0"/>
          <w:bCs w:val="0"/>
          <w:i w:val="0"/>
          <w:iCs w:val="0"/>
          <w:caps w:val="0"/>
          <w:smallCaps w:val="0"/>
          <w:noProof w:val="0"/>
          <w:color w:val="172B4D"/>
          <w:sz w:val="24"/>
          <w:szCs w:val="24"/>
          <w:lang w:val="en-US"/>
        </w:rPr>
        <w:t xml:space="preserve">The UAE Green Agenda 2030 focuses on driving economic growth, enhancing exports, and achieving substantial reductions in emissions by 2030 through strategic initiatives that prioritize green energy and sustainable practices. </w:t>
      </w:r>
      <w:r>
        <w:br/>
      </w:r>
      <w:r>
        <w:br/>
      </w:r>
      <w:r w:rsidRPr="4C9F3997" w:rsidR="20961B7B">
        <w:rPr>
          <w:rFonts w:ascii="Calibri" w:hAnsi="Calibri" w:eastAsia="Calibri" w:cs="Calibri"/>
          <w:b w:val="0"/>
          <w:bCs w:val="0"/>
          <w:i w:val="0"/>
          <w:iCs w:val="0"/>
          <w:caps w:val="0"/>
          <w:smallCaps w:val="0"/>
          <w:noProof w:val="0"/>
          <w:color w:val="172B4D"/>
          <w:sz w:val="24"/>
          <w:szCs w:val="24"/>
          <w:lang w:val="en-US"/>
        </w:rPr>
        <w:t xml:space="preserve">Flagship projects such as the Mohammed bin Rashid Al Maktoum Solar Park and the Barakah Nuclear Power Plant exemplify the UAE’s dedication to lowering carbon emissions while creating job opportunities in renewable energy sectors. </w:t>
      </w:r>
      <w:r>
        <w:br/>
      </w:r>
      <w:r>
        <w:br/>
      </w:r>
      <w:r>
        <w:br/>
      </w:r>
    </w:p>
    <w:p xmlns:wp14="http://schemas.microsoft.com/office/word/2010/wordml" w:rsidP="4C9F3997" wp14:paraId="1DB4442F" wp14:textId="56FE23DB">
      <w:pPr>
        <w:spacing w:before="240" w:beforeAutospacing="off" w:after="240" w:afterAutospacing="off"/>
      </w:pPr>
      <w:r w:rsidRPr="4C9F3997" w:rsidR="20961B7B">
        <w:rPr>
          <w:rFonts w:ascii="Calibri" w:hAnsi="Calibri" w:eastAsia="Calibri" w:cs="Calibri"/>
          <w:b w:val="0"/>
          <w:bCs w:val="0"/>
          <w:i w:val="0"/>
          <w:iCs w:val="0"/>
          <w:caps w:val="0"/>
          <w:smallCaps w:val="0"/>
          <w:noProof w:val="0"/>
          <w:color w:val="172B4D"/>
          <w:sz w:val="24"/>
          <w:szCs w:val="24"/>
          <w:lang w:val="en-US"/>
        </w:rPr>
        <w:t xml:space="preserve">The UAE </w:t>
      </w:r>
      <w:r w:rsidRPr="4C9F3997" w:rsidR="20961B7B">
        <w:rPr>
          <w:rFonts w:ascii="Calibri" w:hAnsi="Calibri" w:eastAsia="Calibri" w:cs="Calibri"/>
          <w:b w:val="0"/>
          <w:bCs w:val="0"/>
          <w:i w:val="0"/>
          <w:iCs w:val="0"/>
          <w:caps w:val="0"/>
          <w:smallCaps w:val="0"/>
          <w:noProof w:val="0"/>
          <w:color w:val="172B4D"/>
          <w:sz w:val="24"/>
          <w:szCs w:val="24"/>
          <w:lang w:val="en-US"/>
        </w:rPr>
        <w:t>remains</w:t>
      </w:r>
      <w:r w:rsidRPr="4C9F3997" w:rsidR="20961B7B">
        <w:rPr>
          <w:rFonts w:ascii="Calibri" w:hAnsi="Calibri" w:eastAsia="Calibri" w:cs="Calibri"/>
          <w:b w:val="0"/>
          <w:bCs w:val="0"/>
          <w:i w:val="0"/>
          <w:iCs w:val="0"/>
          <w:caps w:val="0"/>
          <w:smallCaps w:val="0"/>
          <w:noProof w:val="0"/>
          <w:color w:val="172B4D"/>
          <w:sz w:val="24"/>
          <w:szCs w:val="24"/>
          <w:lang w:val="en-US"/>
        </w:rPr>
        <w:t xml:space="preserve"> </w:t>
      </w:r>
      <w:r w:rsidRPr="4C9F3997" w:rsidR="20961B7B">
        <w:rPr>
          <w:rFonts w:ascii="Calibri" w:hAnsi="Calibri" w:eastAsia="Calibri" w:cs="Calibri"/>
          <w:b w:val="0"/>
          <w:bCs w:val="0"/>
          <w:i w:val="0"/>
          <w:iCs w:val="0"/>
          <w:caps w:val="0"/>
          <w:smallCaps w:val="0"/>
          <w:noProof w:val="0"/>
          <w:color w:val="172B4D"/>
          <w:sz w:val="24"/>
          <w:szCs w:val="24"/>
          <w:lang w:val="en-US"/>
        </w:rPr>
        <w:t>firmly committed</w:t>
      </w:r>
      <w:r w:rsidRPr="4C9F3997" w:rsidR="20961B7B">
        <w:rPr>
          <w:rFonts w:ascii="Calibri" w:hAnsi="Calibri" w:eastAsia="Calibri" w:cs="Calibri"/>
          <w:b w:val="0"/>
          <w:bCs w:val="0"/>
          <w:i w:val="0"/>
          <w:iCs w:val="0"/>
          <w:caps w:val="0"/>
          <w:smallCaps w:val="0"/>
          <w:noProof w:val="0"/>
          <w:color w:val="172B4D"/>
          <w:sz w:val="24"/>
          <w:szCs w:val="24"/>
          <w:lang w:val="en-US"/>
        </w:rPr>
        <w:t xml:space="preserve"> to the United Nations Sustainable Development Goals and its Vision 2021 </w:t>
      </w:r>
      <w:r w:rsidRPr="4C9F3997" w:rsidR="20961B7B">
        <w:rPr>
          <w:rFonts w:ascii="Calibri" w:hAnsi="Calibri" w:eastAsia="Calibri" w:cs="Calibri"/>
          <w:b w:val="0"/>
          <w:bCs w:val="0"/>
          <w:i w:val="0"/>
          <w:iCs w:val="0"/>
          <w:caps w:val="0"/>
          <w:smallCaps w:val="0"/>
          <w:noProof w:val="0"/>
          <w:color w:val="172B4D"/>
          <w:sz w:val="24"/>
          <w:szCs w:val="24"/>
          <w:lang w:val="en-US"/>
        </w:rPr>
        <w:t>objectives</w:t>
      </w:r>
      <w:r w:rsidRPr="4C9F3997" w:rsidR="20961B7B">
        <w:rPr>
          <w:rFonts w:ascii="Calibri" w:hAnsi="Calibri" w:eastAsia="Calibri" w:cs="Calibri"/>
          <w:b w:val="0"/>
          <w:bCs w:val="0"/>
          <w:i w:val="0"/>
          <w:iCs w:val="0"/>
          <w:caps w:val="0"/>
          <w:smallCaps w:val="0"/>
          <w:noProof w:val="0"/>
          <w:color w:val="172B4D"/>
          <w:sz w:val="24"/>
          <w:szCs w:val="24"/>
          <w:lang w:val="en-US"/>
        </w:rPr>
        <w:t xml:space="preserve">. Through investments in advanced technologies like solar and nuclear energy, as well as initiatives to develop eco-cities and green transportation, the UAE underlines its dedication to sustainable development. These actions' purpose is to address environmental challenges while supporting economic growth and innovation. </w:t>
      </w:r>
      <w:r>
        <w:br/>
      </w:r>
      <w:r>
        <w:br/>
      </w:r>
      <w:r w:rsidRPr="4C9F3997" w:rsidR="20961B7B">
        <w:rPr>
          <w:rFonts w:ascii="Calibri" w:hAnsi="Calibri" w:eastAsia="Calibri" w:cs="Calibri"/>
          <w:b w:val="1"/>
          <w:bCs w:val="1"/>
          <w:i w:val="0"/>
          <w:iCs w:val="0"/>
          <w:caps w:val="0"/>
          <w:smallCaps w:val="0"/>
          <w:noProof w:val="0"/>
          <w:color w:val="172B4D"/>
          <w:sz w:val="24"/>
          <w:szCs w:val="24"/>
          <w:lang w:val="en-US"/>
        </w:rPr>
        <w:t xml:space="preserve">To accelerate the transition to a green economy, the UAE suggests the following measures: </w:t>
      </w:r>
      <w:r>
        <w:br/>
      </w:r>
      <w:r>
        <w:br/>
      </w:r>
      <w:r w:rsidRPr="4C9F3997" w:rsidR="20961B7B">
        <w:rPr>
          <w:rFonts w:ascii="Calibri" w:hAnsi="Calibri" w:eastAsia="Calibri" w:cs="Calibri"/>
          <w:b w:val="1"/>
          <w:bCs w:val="1"/>
          <w:i w:val="0"/>
          <w:iCs w:val="0"/>
          <w:caps w:val="0"/>
          <w:smallCaps w:val="0"/>
          <w:noProof w:val="0"/>
          <w:color w:val="172B4D"/>
          <w:sz w:val="24"/>
          <w:szCs w:val="24"/>
          <w:lang w:val="en-US"/>
        </w:rPr>
        <w:t>Regional Cooperation:</w:t>
      </w:r>
      <w:r w:rsidRPr="4C9F3997" w:rsidR="20961B7B">
        <w:rPr>
          <w:rFonts w:ascii="Calibri" w:hAnsi="Calibri" w:eastAsia="Calibri" w:cs="Calibri"/>
          <w:b w:val="0"/>
          <w:bCs w:val="0"/>
          <w:i w:val="0"/>
          <w:iCs w:val="0"/>
          <w:caps w:val="0"/>
          <w:smallCaps w:val="0"/>
          <w:noProof w:val="0"/>
          <w:color w:val="172B4D"/>
          <w:sz w:val="24"/>
          <w:szCs w:val="24"/>
          <w:lang w:val="en-US"/>
        </w:rPr>
        <w:t xml:space="preserve"> Building partnerships to share knowledge and best practices in renewable energy technologies and green job creation. </w:t>
      </w:r>
      <w:r>
        <w:br/>
      </w:r>
      <w:r>
        <w:br/>
      </w:r>
      <w:r w:rsidRPr="4C9F3997" w:rsidR="20961B7B">
        <w:rPr>
          <w:rFonts w:ascii="Calibri" w:hAnsi="Calibri" w:eastAsia="Calibri" w:cs="Calibri"/>
          <w:b w:val="1"/>
          <w:bCs w:val="1"/>
          <w:i w:val="0"/>
          <w:iCs w:val="0"/>
          <w:caps w:val="0"/>
          <w:smallCaps w:val="0"/>
          <w:noProof w:val="0"/>
          <w:color w:val="172B4D"/>
          <w:sz w:val="24"/>
          <w:szCs w:val="24"/>
          <w:lang w:val="en-US"/>
        </w:rPr>
        <w:t>Funding Mechanisms:</w:t>
      </w:r>
      <w:r w:rsidRPr="4C9F3997" w:rsidR="20961B7B">
        <w:rPr>
          <w:rFonts w:ascii="Calibri" w:hAnsi="Calibri" w:eastAsia="Calibri" w:cs="Calibri"/>
          <w:b w:val="0"/>
          <w:bCs w:val="0"/>
          <w:i w:val="0"/>
          <w:iCs w:val="0"/>
          <w:caps w:val="0"/>
          <w:smallCaps w:val="0"/>
          <w:noProof w:val="0"/>
          <w:color w:val="172B4D"/>
          <w:sz w:val="24"/>
          <w:szCs w:val="24"/>
          <w:lang w:val="en-US"/>
        </w:rPr>
        <w:t xml:space="preserve"> Increasing the use of green bonds and international funding to support renewable energy initiatives, especially in developing countries. </w:t>
      </w:r>
      <w:r>
        <w:br/>
      </w:r>
      <w:r>
        <w:br/>
      </w:r>
      <w:r w:rsidRPr="4C9F3997" w:rsidR="20961B7B">
        <w:rPr>
          <w:rFonts w:ascii="Calibri" w:hAnsi="Calibri" w:eastAsia="Calibri" w:cs="Calibri"/>
          <w:b w:val="1"/>
          <w:bCs w:val="1"/>
          <w:i w:val="0"/>
          <w:iCs w:val="0"/>
          <w:caps w:val="0"/>
          <w:smallCaps w:val="0"/>
          <w:noProof w:val="0"/>
          <w:color w:val="172B4D"/>
          <w:sz w:val="24"/>
          <w:szCs w:val="24"/>
          <w:lang w:val="en-US"/>
        </w:rPr>
        <w:t>Capacity Building</w:t>
      </w:r>
      <w:r w:rsidRPr="4C9F3997" w:rsidR="20961B7B">
        <w:rPr>
          <w:rFonts w:ascii="Calibri" w:hAnsi="Calibri" w:eastAsia="Calibri" w:cs="Calibri"/>
          <w:b w:val="0"/>
          <w:bCs w:val="0"/>
          <w:i w:val="0"/>
          <w:iCs w:val="0"/>
          <w:caps w:val="0"/>
          <w:smallCaps w:val="0"/>
          <w:noProof w:val="0"/>
          <w:color w:val="172B4D"/>
          <w:sz w:val="24"/>
          <w:szCs w:val="24"/>
          <w:lang w:val="en-US"/>
        </w:rPr>
        <w:t xml:space="preserve">: Developing training programs and educational initiatives to equip workers with the skills needed for green industries. </w:t>
      </w:r>
      <w:r>
        <w:br/>
      </w:r>
      <w:r>
        <w:br/>
      </w:r>
      <w:r w:rsidRPr="4C9F3997" w:rsidR="20961B7B">
        <w:rPr>
          <w:rFonts w:ascii="Calibri" w:hAnsi="Calibri" w:eastAsia="Calibri" w:cs="Calibri"/>
          <w:b w:val="1"/>
          <w:bCs w:val="1"/>
          <w:i w:val="0"/>
          <w:iCs w:val="0"/>
          <w:caps w:val="0"/>
          <w:smallCaps w:val="0"/>
          <w:noProof w:val="0"/>
          <w:color w:val="172B4D"/>
          <w:sz w:val="24"/>
          <w:szCs w:val="24"/>
          <w:lang w:val="en-US"/>
        </w:rPr>
        <w:t>Technological Innovation:</w:t>
      </w:r>
      <w:r w:rsidRPr="4C9F3997" w:rsidR="20961B7B">
        <w:rPr>
          <w:rFonts w:ascii="Calibri" w:hAnsi="Calibri" w:eastAsia="Calibri" w:cs="Calibri"/>
          <w:b w:val="0"/>
          <w:bCs w:val="0"/>
          <w:i w:val="0"/>
          <w:iCs w:val="0"/>
          <w:caps w:val="0"/>
          <w:smallCaps w:val="0"/>
          <w:noProof w:val="0"/>
          <w:color w:val="172B4D"/>
          <w:sz w:val="24"/>
          <w:szCs w:val="24"/>
          <w:lang w:val="en-US"/>
        </w:rPr>
        <w:t xml:space="preserve"> Boosting R&amp;D investments to make renewable energy technologies more accessible and cost-efficient globally. </w:t>
      </w:r>
      <w:r>
        <w:br/>
      </w:r>
      <w:r>
        <w:br/>
      </w:r>
      <w:r>
        <w:br/>
      </w:r>
      <w:r>
        <w:br/>
      </w:r>
      <w:r w:rsidRPr="4C9F3997" w:rsidR="20961B7B">
        <w:rPr>
          <w:rFonts w:ascii="Calibri" w:hAnsi="Calibri" w:eastAsia="Calibri" w:cs="Calibri"/>
          <w:b w:val="0"/>
          <w:bCs w:val="0"/>
          <w:i w:val="0"/>
          <w:iCs w:val="0"/>
          <w:caps w:val="0"/>
          <w:smallCaps w:val="0"/>
          <w:noProof w:val="0"/>
          <w:color w:val="172B4D"/>
          <w:sz w:val="24"/>
          <w:szCs w:val="24"/>
          <w:lang w:val="en-US"/>
        </w:rPr>
        <w:t>The United Arab Emirates continues to show its strong commitment to fighting climate change and highlights the need for worldwide cooperation to create a sustainable and inclusive future for everyone.</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39B8D8"/>
    <w:rsid w:val="0258554E"/>
    <w:rsid w:val="05250DC5"/>
    <w:rsid w:val="095F79A7"/>
    <w:rsid w:val="0E64ECFC"/>
    <w:rsid w:val="100A01AA"/>
    <w:rsid w:val="10E07294"/>
    <w:rsid w:val="13868472"/>
    <w:rsid w:val="172765AD"/>
    <w:rsid w:val="1DBF679B"/>
    <w:rsid w:val="1ED4C375"/>
    <w:rsid w:val="20961B7B"/>
    <w:rsid w:val="28CF118B"/>
    <w:rsid w:val="2A0A815B"/>
    <w:rsid w:val="339D36BE"/>
    <w:rsid w:val="34C01ED2"/>
    <w:rsid w:val="3B1AE218"/>
    <w:rsid w:val="3BF838E0"/>
    <w:rsid w:val="44FA2053"/>
    <w:rsid w:val="46AB8F23"/>
    <w:rsid w:val="4BD77518"/>
    <w:rsid w:val="4C9F3997"/>
    <w:rsid w:val="500D5227"/>
    <w:rsid w:val="54073610"/>
    <w:rsid w:val="55E23C4B"/>
    <w:rsid w:val="56494414"/>
    <w:rsid w:val="59321164"/>
    <w:rsid w:val="6333256B"/>
    <w:rsid w:val="655BFA73"/>
    <w:rsid w:val="66400B2B"/>
    <w:rsid w:val="6874C574"/>
    <w:rsid w:val="6EDF840F"/>
    <w:rsid w:val="7040EB56"/>
    <w:rsid w:val="7339B8D8"/>
    <w:rsid w:val="7BE19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B8D8"/>
  <w15:chartTrackingRefBased/>
  <w15:docId w15:val="{99093B16-945F-45EE-9B50-51A5130EF0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d907629050343b1" /><Relationship Type="http://schemas.openxmlformats.org/officeDocument/2006/relationships/image" Target="/media/image2.png" Id="Rcab11cf1435b4d8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2024-12-20T10:09:45.0466316Z</dcterms:created>
  <dcterms:modified xsi:type="dcterms:W3CDTF">2024-12-20T11:04:27.2591862Z</dcterms:modified>
  <dc:creator>ÖYKÜ ZEYNEP EMEN</dc:creator>
  <lastModifiedBy>ÖYKÜ ZEYNEP EMEN</lastModifiedBy>
</coreProperties>
</file>