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B133161" w:rsidP="3E62AF3A" w:rsidRDefault="5B133161" w14:paraId="2822BC76" w14:textId="0023A08E">
      <w:pPr>
        <w:rPr>
          <w:rFonts w:ascii="Times New Roman" w:hAnsi="Times New Roman" w:eastAsia="Times New Roman" w:cs="Times New Roman"/>
        </w:rPr>
      </w:pPr>
      <w:r w:rsidRPr="3E62AF3A" w:rsidR="5B133161">
        <w:rPr>
          <w:rFonts w:ascii="Times New Roman" w:hAnsi="Times New Roman" w:eastAsia="Times New Roman" w:cs="Times New Roman"/>
        </w:rPr>
        <w:t xml:space="preserve">COUNTRY: </w:t>
      </w:r>
      <w:r w:rsidRPr="3E62AF3A" w:rsidR="5B133161">
        <w:rPr>
          <w:rFonts w:ascii="Times New Roman" w:hAnsi="Times New Roman" w:eastAsia="Times New Roman" w:cs="Times New Roman"/>
        </w:rPr>
        <w:t>The</w:t>
      </w:r>
      <w:r w:rsidRPr="3E62AF3A" w:rsidR="5B133161">
        <w:rPr>
          <w:rFonts w:ascii="Times New Roman" w:hAnsi="Times New Roman" w:eastAsia="Times New Roman" w:cs="Times New Roman"/>
        </w:rPr>
        <w:t xml:space="preserve"> </w:t>
      </w:r>
      <w:r w:rsidRPr="3E62AF3A" w:rsidR="5B133161">
        <w:rPr>
          <w:rFonts w:ascii="Times New Roman" w:hAnsi="Times New Roman" w:eastAsia="Times New Roman" w:cs="Times New Roman"/>
        </w:rPr>
        <w:t>Kingdom</w:t>
      </w:r>
      <w:r w:rsidRPr="3E62AF3A" w:rsidR="5B133161">
        <w:rPr>
          <w:rFonts w:ascii="Times New Roman" w:hAnsi="Times New Roman" w:eastAsia="Times New Roman" w:cs="Times New Roman"/>
        </w:rPr>
        <w:t xml:space="preserve"> of </w:t>
      </w:r>
      <w:r w:rsidRPr="3E62AF3A" w:rsidR="5B133161">
        <w:rPr>
          <w:rFonts w:ascii="Times New Roman" w:hAnsi="Times New Roman" w:eastAsia="Times New Roman" w:cs="Times New Roman"/>
        </w:rPr>
        <w:t>Saudi</w:t>
      </w:r>
      <w:r w:rsidRPr="3E62AF3A" w:rsidR="5B133161">
        <w:rPr>
          <w:rFonts w:ascii="Times New Roman" w:hAnsi="Times New Roman" w:eastAsia="Times New Roman" w:cs="Times New Roman"/>
        </w:rPr>
        <w:t xml:space="preserve"> </w:t>
      </w:r>
      <w:r w:rsidRPr="3E62AF3A" w:rsidR="5B133161">
        <w:rPr>
          <w:rFonts w:ascii="Times New Roman" w:hAnsi="Times New Roman" w:eastAsia="Times New Roman" w:cs="Times New Roman"/>
        </w:rPr>
        <w:t>Arabia</w:t>
      </w:r>
    </w:p>
    <w:p w:rsidR="5B133161" w:rsidP="3E62AF3A" w:rsidRDefault="5B133161" w14:paraId="2153494D" w14:textId="4563FC65">
      <w:pPr>
        <w:rPr>
          <w:rFonts w:ascii="Times New Roman" w:hAnsi="Times New Roman" w:eastAsia="Times New Roman" w:cs="Times New Roman"/>
        </w:rPr>
      </w:pPr>
      <w:r w:rsidRPr="3E62AF3A" w:rsidR="5B133161">
        <w:rPr>
          <w:rFonts w:ascii="Times New Roman" w:hAnsi="Times New Roman" w:eastAsia="Times New Roman" w:cs="Times New Roman"/>
        </w:rPr>
        <w:t>COMMITTEE: ECOSOC</w:t>
      </w:r>
    </w:p>
    <w:p w:rsidR="5B133161" w:rsidP="3E62AF3A" w:rsidRDefault="5B133161" w14:paraId="5772835D" w14:textId="5D21B567">
      <w:pPr>
        <w:pStyle w:val="Normal"/>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3E62AF3A" w:rsidR="5B133161">
        <w:rPr>
          <w:rFonts w:ascii="Times New Roman" w:hAnsi="Times New Roman" w:eastAsia="Times New Roman" w:cs="Times New Roman"/>
        </w:rPr>
        <w:t xml:space="preserve">ISSUE: </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Promoting</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Green</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Jobs</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and</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the</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Transition</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to</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a </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Green</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w:t>
      </w:r>
      <w:r w:rsidRPr="3E62AF3A" w:rsidR="5B133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Economy</w:t>
      </w:r>
    </w:p>
    <w:p w:rsidR="3E62AF3A" w:rsidP="3E62AF3A" w:rsidRDefault="3E62AF3A" w14:paraId="5DE43E9E" w14:textId="54582417">
      <w:pPr>
        <w:pStyle w:val="Normal"/>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p>
    <w:p w:rsidR="3E62AF3A" w:rsidP="3E62AF3A" w:rsidRDefault="3E62AF3A" w14:paraId="5EDC52AE" w14:textId="5E279557">
      <w:pPr>
        <w:pStyle w:val="Normal"/>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p>
    <w:p w:rsidR="0D5D17BD" w:rsidP="3E62AF3A" w:rsidRDefault="0D5D17BD" w14:paraId="561C8B92" w14:textId="525A4494">
      <w:pPr>
        <w:pStyle w:val="ListParagraph"/>
        <w:numPr>
          <w:ilvl w:val="0"/>
          <w:numId w:val="1"/>
        </w:numPr>
        <w:rPr>
          <w:rFonts w:ascii="Times New Roman" w:hAnsi="Times New Roman" w:eastAsia="Times New Roman" w:cs="Times New Roman"/>
          <w:b w:val="0"/>
          <w:bCs w:val="0"/>
          <w:noProof w:val="0"/>
          <w:lang w:val="en-US"/>
        </w:rPr>
      </w:pPr>
      <w:r w:rsidRPr="3E62AF3A" w:rsidR="0D5D17BD">
        <w:rPr>
          <w:rFonts w:ascii="Times New Roman" w:hAnsi="Times New Roman" w:eastAsia="Times New Roman" w:cs="Times New Roman"/>
          <w:lang w:val="en-US"/>
        </w:rPr>
        <w:t>A</w:t>
      </w:r>
      <w:r w:rsidRPr="3E62AF3A" w:rsidR="0D5D17BD">
        <w:rPr>
          <w:rFonts w:ascii="Times New Roman" w:hAnsi="Times New Roman" w:eastAsia="Times New Roman" w:cs="Times New Roman"/>
          <w:lang w:val="en-US"/>
        </w:rPr>
        <w:t>c</w:t>
      </w:r>
      <w:r w:rsidRPr="3E62AF3A" w:rsidR="01979CB7">
        <w:rPr>
          <w:rFonts w:ascii="Times New Roman" w:hAnsi="Times New Roman" w:eastAsia="Times New Roman" w:cs="Times New Roman"/>
          <w:lang w:val="en-US"/>
        </w:rPr>
        <w:t>c</w:t>
      </w:r>
      <w:r w:rsidRPr="3E62AF3A" w:rsidR="0D5D17BD">
        <w:rPr>
          <w:rFonts w:ascii="Times New Roman" w:hAnsi="Times New Roman" w:eastAsia="Times New Roman" w:cs="Times New Roman"/>
          <w:lang w:val="en-US"/>
        </w:rPr>
        <w:t>ording to the International Labour Organization</w:t>
      </w:r>
      <w:r w:rsidRPr="3E62AF3A" w:rsidR="5EF409C6">
        <w:rPr>
          <w:rFonts w:ascii="Times New Roman" w:hAnsi="Times New Roman" w:eastAsia="Times New Roman" w:cs="Times New Roman"/>
          <w:lang w:val="en-US"/>
        </w:rPr>
        <w:t xml:space="preserve"> </w:t>
      </w:r>
      <w:r w:rsidRPr="3E62AF3A" w:rsidR="0D5D17BD">
        <w:rPr>
          <w:rFonts w:ascii="Times New Roman" w:hAnsi="Times New Roman" w:eastAsia="Times New Roman" w:cs="Times New Roman"/>
          <w:lang w:val="en-US"/>
        </w:rPr>
        <w:t xml:space="preserve">(ILO), Green jobs are </w:t>
      </w:r>
      <w:r w:rsidRPr="3E62AF3A" w:rsidR="7656644C">
        <w:rPr>
          <w:rFonts w:ascii="Times New Roman" w:hAnsi="Times New Roman" w:eastAsia="Times New Roman" w:cs="Times New Roman"/>
          <w:lang w:val="en-US"/>
        </w:rPr>
        <w:t>propered</w:t>
      </w:r>
      <w:r w:rsidRPr="3E62AF3A" w:rsidR="7656644C">
        <w:rPr>
          <w:rFonts w:ascii="Times New Roman" w:hAnsi="Times New Roman" w:eastAsia="Times New Roman" w:cs="Times New Roman"/>
          <w:lang w:val="en-US"/>
        </w:rPr>
        <w:t xml:space="preserve"> jobs that </w:t>
      </w:r>
      <w:r w:rsidRPr="3E62AF3A" w:rsidR="72B0ECFF">
        <w:rPr>
          <w:rFonts w:ascii="Times New Roman" w:hAnsi="Times New Roman" w:eastAsia="Times New Roman" w:cs="Times New Roman"/>
          <w:lang w:val="en-US"/>
        </w:rPr>
        <w:t>contribute to preserve or restore</w:t>
      </w:r>
      <w:r w:rsidRPr="3E62AF3A" w:rsidR="508D56CB">
        <w:rPr>
          <w:rFonts w:ascii="Times New Roman" w:hAnsi="Times New Roman" w:eastAsia="Times New Roman" w:cs="Times New Roman"/>
          <w:lang w:val="en-US"/>
        </w:rPr>
        <w:t xml:space="preserve"> the environment, be they in traditional </w:t>
      </w:r>
      <w:r w:rsidRPr="3E62AF3A" w:rsidR="3DECB39B">
        <w:rPr>
          <w:rFonts w:ascii="Times New Roman" w:hAnsi="Times New Roman" w:eastAsia="Times New Roman" w:cs="Times New Roman"/>
          <w:lang w:val="en-US"/>
        </w:rPr>
        <w:t>sectors such as manufacturing and construction, or in new, emerging green sectors such as renewable energy and energy efficiency</w:t>
      </w:r>
      <w:r w:rsidRPr="3E62AF3A" w:rsidR="0FE62E31">
        <w:rPr>
          <w:rFonts w:ascii="Times New Roman" w:hAnsi="Times New Roman" w:eastAsia="Times New Roman" w:cs="Times New Roman"/>
          <w:lang w:val="en-US"/>
        </w:rPr>
        <w:t>.</w:t>
      </w:r>
      <w:r w:rsidRPr="3E62AF3A" w:rsidR="5F0A3597">
        <w:rPr>
          <w:rFonts w:ascii="Times New Roman" w:hAnsi="Times New Roman" w:eastAsia="Times New Roman" w:cs="Times New Roman"/>
          <w:lang w:val="en-US"/>
        </w:rPr>
        <w:t xml:space="preserve"> </w:t>
      </w:r>
      <w:r w:rsidRPr="3E62AF3A" w:rsidR="22CB33DF">
        <w:rPr>
          <w:rFonts w:ascii="Times New Roman" w:hAnsi="Times New Roman" w:eastAsia="Times New Roman" w:cs="Times New Roman"/>
          <w:lang w:val="en-US"/>
        </w:rPr>
        <w:t xml:space="preserve">Green jobs </w:t>
      </w:r>
      <w:r w:rsidRPr="3E62AF3A" w:rsidR="22CB33DF">
        <w:rPr>
          <w:rFonts w:ascii="Times New Roman" w:hAnsi="Times New Roman" w:eastAsia="Times New Roman" w:cs="Times New Roman"/>
          <w:lang w:val="en-US"/>
        </w:rPr>
        <w:t>supports</w:t>
      </w:r>
      <w:r w:rsidRPr="3E62AF3A" w:rsidR="22CB33DF">
        <w:rPr>
          <w:rFonts w:ascii="Times New Roman" w:hAnsi="Times New Roman" w:eastAsia="Times New Roman" w:cs="Times New Roman"/>
          <w:lang w:val="en-US"/>
        </w:rPr>
        <w:t xml:space="preserve"> </w:t>
      </w:r>
      <w:r w:rsidRPr="3E62AF3A" w:rsidR="00C1DB00">
        <w:rPr>
          <w:rFonts w:ascii="Times New Roman" w:hAnsi="Times New Roman" w:eastAsia="Times New Roman" w:cs="Times New Roman"/>
          <w:lang w:val="en-US"/>
        </w:rPr>
        <w:t>the things like improving energy and raw materials efficiency</w:t>
      </w:r>
      <w:r w:rsidRPr="3E62AF3A" w:rsidR="5450E81B">
        <w:rPr>
          <w:rFonts w:ascii="Times New Roman" w:hAnsi="Times New Roman" w:eastAsia="Times New Roman" w:cs="Times New Roman"/>
          <w:lang w:val="en-US"/>
        </w:rPr>
        <w:t xml:space="preserve">, limiting greenhouse gas emissions, minimizing waste and pollution, </w:t>
      </w:r>
      <w:r w:rsidRPr="3E62AF3A" w:rsidR="5450E81B">
        <w:rPr>
          <w:rFonts w:ascii="Times New Roman" w:hAnsi="Times New Roman" w:eastAsia="Times New Roman" w:cs="Times New Roman"/>
          <w:lang w:val="en-US"/>
        </w:rPr>
        <w:t>protecting</w:t>
      </w:r>
      <w:r w:rsidRPr="3E62AF3A" w:rsidR="5450E81B">
        <w:rPr>
          <w:rFonts w:ascii="Times New Roman" w:hAnsi="Times New Roman" w:eastAsia="Times New Roman" w:cs="Times New Roman"/>
          <w:lang w:val="en-US"/>
        </w:rPr>
        <w:t xml:space="preserve"> and restoring ecosystems, supporting adaptation to the effects of climate change. </w:t>
      </w:r>
      <w:r w:rsidRPr="3E62AF3A" w:rsidR="2A2A8B44">
        <w:rPr>
          <w:rFonts w:ascii="Times New Roman" w:hAnsi="Times New Roman" w:eastAsia="Times New Roman" w:cs="Times New Roman"/>
          <w:b w:val="0"/>
          <w:bCs w:val="0"/>
          <w:noProof w:val="0"/>
          <w:lang w:val="en-US"/>
        </w:rPr>
        <w:t xml:space="preserve">However, many jobs which are green in principle are not green in application because of the environmental damage caused by inappropriate practices. There is also evidence that many green jobs </w:t>
      </w:r>
      <w:r w:rsidRPr="3E62AF3A" w:rsidR="2A2A8B44">
        <w:rPr>
          <w:rFonts w:ascii="Times New Roman" w:hAnsi="Times New Roman" w:eastAsia="Times New Roman" w:cs="Times New Roman"/>
          <w:b w:val="0"/>
          <w:bCs w:val="0"/>
          <w:noProof w:val="0"/>
          <w:lang w:val="en-US"/>
        </w:rPr>
        <w:t>do not automatically constitute</w:t>
      </w:r>
      <w:r w:rsidRPr="3E62AF3A" w:rsidR="2A2A8B44">
        <w:rPr>
          <w:rFonts w:ascii="Times New Roman" w:hAnsi="Times New Roman" w:eastAsia="Times New Roman" w:cs="Times New Roman"/>
          <w:b w:val="0"/>
          <w:bCs w:val="0"/>
          <w:noProof w:val="0"/>
          <w:lang w:val="en-US"/>
        </w:rPr>
        <w:t xml:space="preserve"> decent work. Many of these jobs related to the environment are “dirty, dangerous and difficult</w:t>
      </w:r>
      <w:r w:rsidRPr="3E62AF3A" w:rsidR="2A2A8B44">
        <w:rPr>
          <w:rFonts w:ascii="Times New Roman" w:hAnsi="Times New Roman" w:eastAsia="Times New Roman" w:cs="Times New Roman"/>
          <w:b w:val="0"/>
          <w:bCs w:val="0"/>
          <w:noProof w:val="0"/>
          <w:lang w:val="en-US"/>
        </w:rPr>
        <w:t>”.</w:t>
      </w:r>
      <w:r w:rsidRPr="3E62AF3A" w:rsidR="2A2A8B44">
        <w:rPr>
          <w:rFonts w:ascii="Times New Roman" w:hAnsi="Times New Roman" w:eastAsia="Times New Roman" w:cs="Times New Roman"/>
          <w:b w:val="0"/>
          <w:bCs w:val="0"/>
          <w:noProof w:val="0"/>
          <w:lang w:val="en-US"/>
        </w:rPr>
        <w:t xml:space="preserve"> Employment in industries such as recycling and waste management, biomass energy and construction tend to be precarious and low-paid. Therefore, we must strive to ensure that ‘green’ jobs are also seen as ‘quality’ jobs – while contributing to the environment beneficially.</w:t>
      </w:r>
      <w:r w:rsidRPr="3E62AF3A" w:rsidR="687FEE2F">
        <w:rPr>
          <w:rFonts w:ascii="Times New Roman" w:hAnsi="Times New Roman" w:eastAsia="Times New Roman" w:cs="Times New Roman"/>
          <w:b w:val="0"/>
          <w:bCs w:val="0"/>
          <w:noProof w:val="0"/>
          <w:lang w:val="en-US"/>
        </w:rPr>
        <w:t xml:space="preserve"> The delegation of Kingdom of </w:t>
      </w:r>
      <w:r w:rsidRPr="3E62AF3A" w:rsidR="687FEE2F">
        <w:rPr>
          <w:rFonts w:ascii="Times New Roman" w:hAnsi="Times New Roman" w:eastAsia="Times New Roman" w:cs="Times New Roman"/>
          <w:b w:val="0"/>
          <w:bCs w:val="0"/>
          <w:noProof w:val="0"/>
          <w:lang w:val="en-US"/>
        </w:rPr>
        <w:t>S</w:t>
      </w:r>
      <w:r w:rsidRPr="3E62AF3A" w:rsidR="4CA90FBA">
        <w:rPr>
          <w:rFonts w:ascii="Times New Roman" w:hAnsi="Times New Roman" w:eastAsia="Times New Roman" w:cs="Times New Roman"/>
          <w:b w:val="0"/>
          <w:bCs w:val="0"/>
          <w:noProof w:val="0"/>
          <w:lang w:val="en-US"/>
        </w:rPr>
        <w:t>a</w:t>
      </w:r>
      <w:r w:rsidRPr="3E62AF3A" w:rsidR="687FEE2F">
        <w:rPr>
          <w:rFonts w:ascii="Times New Roman" w:hAnsi="Times New Roman" w:eastAsia="Times New Roman" w:cs="Times New Roman"/>
          <w:b w:val="0"/>
          <w:bCs w:val="0"/>
          <w:noProof w:val="0"/>
          <w:lang w:val="en-US"/>
        </w:rPr>
        <w:t xml:space="preserve">udi Arabia, </w:t>
      </w:r>
      <w:r w:rsidRPr="3E62AF3A" w:rsidR="09E8E0C5">
        <w:rPr>
          <w:rFonts w:ascii="Times New Roman" w:hAnsi="Times New Roman" w:eastAsia="Times New Roman" w:cs="Times New Roman"/>
          <w:b w:val="0"/>
          <w:bCs w:val="0"/>
          <w:noProof w:val="0"/>
          <w:lang w:val="en-US"/>
        </w:rPr>
        <w:t xml:space="preserve">(2) </w:t>
      </w:r>
      <w:r w:rsidRPr="3E62AF3A" w:rsidR="01AB9368">
        <w:rPr>
          <w:rFonts w:ascii="Times New Roman" w:hAnsi="Times New Roman" w:eastAsia="Times New Roman" w:cs="Times New Roman"/>
          <w:b w:val="0"/>
          <w:bCs w:val="0"/>
          <w:noProof w:val="0"/>
          <w:lang w:val="en-US"/>
        </w:rPr>
        <w:t xml:space="preserve">The Green Economy in the Kingdom of Saudi </w:t>
      </w:r>
      <w:r w:rsidRPr="3E62AF3A" w:rsidR="154C31B3">
        <w:rPr>
          <w:rFonts w:ascii="Times New Roman" w:hAnsi="Times New Roman" w:eastAsia="Times New Roman" w:cs="Times New Roman"/>
          <w:b w:val="0"/>
          <w:bCs w:val="0"/>
          <w:noProof w:val="0"/>
          <w:lang w:val="en-US"/>
        </w:rPr>
        <w:t>Arabia is one of the rapidly growing economic development models in the Kingdom. It aims to ensure sustainable economic growth, and prevent environmental pollution, global warming, res</w:t>
      </w:r>
      <w:r w:rsidRPr="3E62AF3A" w:rsidR="315614AC">
        <w:rPr>
          <w:rFonts w:ascii="Times New Roman" w:hAnsi="Times New Roman" w:eastAsia="Times New Roman" w:cs="Times New Roman"/>
          <w:b w:val="0"/>
          <w:bCs w:val="0"/>
          <w:noProof w:val="0"/>
          <w:lang w:val="en-US"/>
        </w:rPr>
        <w:t>ource depletion, and environmental degradation.</w:t>
      </w:r>
    </w:p>
    <w:p w:rsidR="37A88D90" w:rsidP="3E62AF3A" w:rsidRDefault="37A88D90" w14:paraId="33D87258" w14:textId="46B64DB5">
      <w:pPr>
        <w:pStyle w:val="ListParagraph"/>
        <w:ind w:left="720"/>
        <w:rPr>
          <w:rFonts w:ascii="Times New Roman" w:hAnsi="Times New Roman" w:eastAsia="Times New Roman" w:cs="Times New Roman"/>
          <w:b w:val="0"/>
          <w:bCs w:val="0"/>
          <w:noProof w:val="0"/>
          <w:lang w:val="en-US"/>
        </w:rPr>
      </w:pPr>
      <w:r w:rsidRPr="3E62AF3A" w:rsidR="37A88D90">
        <w:rPr>
          <w:rFonts w:ascii="Times New Roman" w:hAnsi="Times New Roman" w:eastAsia="Times New Roman" w:cs="Times New Roman"/>
          <w:b w:val="0"/>
          <w:bCs w:val="0"/>
          <w:noProof w:val="0"/>
          <w:lang w:val="en-US"/>
        </w:rPr>
        <w:t xml:space="preserve">    </w:t>
      </w:r>
    </w:p>
    <w:p w:rsidR="37A88D90" w:rsidP="3E62AF3A" w:rsidRDefault="37A88D90" w14:paraId="6C71E034" w14:textId="6F783F73">
      <w:pPr>
        <w:pStyle w:val="ListParagraph"/>
        <w:ind w:left="720"/>
        <w:rPr>
          <w:rFonts w:ascii="Times New Roman" w:hAnsi="Times New Roman" w:eastAsia="Times New Roman" w:cs="Times New Roman"/>
          <w:noProof w:val="0"/>
          <w:color w:val="000000" w:themeColor="text1" w:themeTint="FF" w:themeShade="FF"/>
          <w:lang w:val="en-US"/>
        </w:rPr>
      </w:pPr>
      <w:r w:rsidRPr="3E62AF3A" w:rsidR="37A88D90">
        <w:rPr>
          <w:rFonts w:ascii="Times New Roman" w:hAnsi="Times New Roman" w:eastAsia="Times New Roman" w:cs="Times New Roman"/>
          <w:b w:val="0"/>
          <w:bCs w:val="0"/>
          <w:noProof w:val="0"/>
          <w:color w:val="000000" w:themeColor="text1" w:themeTint="FF" w:themeShade="FF"/>
          <w:lang w:val="en-US"/>
        </w:rPr>
        <w:t xml:space="preserve">  </w:t>
      </w:r>
      <w:r w:rsidRPr="3E62AF3A" w:rsidR="379557EE">
        <w:rPr>
          <w:rFonts w:ascii="Times New Roman" w:hAnsi="Times New Roman" w:eastAsia="Times New Roman" w:cs="Times New Roman"/>
          <w:b w:val="0"/>
          <w:bCs w:val="0"/>
          <w:noProof w:val="0"/>
          <w:color w:val="000000" w:themeColor="text1" w:themeTint="FF" w:themeShade="FF"/>
          <w:lang w:val="en-US"/>
        </w:rPr>
        <w:t>(3)</w:t>
      </w:r>
      <w:r w:rsidRPr="3E62AF3A" w:rsidR="672AA611">
        <w:rPr>
          <w:rFonts w:ascii="Times New Roman" w:hAnsi="Times New Roman" w:eastAsia="Times New Roman" w:cs="Times New Roman"/>
          <w:b w:val="0"/>
          <w:bCs w:val="0"/>
          <w:noProof w:val="0"/>
          <w:color w:val="000000" w:themeColor="text1" w:themeTint="FF" w:themeShade="FF"/>
          <w:lang w:val="en-US"/>
        </w:rPr>
        <w:t xml:space="preserve"> </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perspectives of civil society actors in Malta about the country’s sustainable energy policy and its impact on green jobs. Perspectives of 11 civil society actors </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comprising</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employers, trade unions and non-governmental organizations are </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anal</w:t>
      </w:r>
      <w:r w:rsidRPr="3E62AF3A" w:rsidR="2C090D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sed</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provide a broad reflexive analysis of the policy process in question. Findings illuminate a broad consensus within civil society that the policymaking process in the field of sustainable energy should incorporate different voices from civil society – such as employers, trade unions and environmental non-governmental organizations – apart from experts in energy, </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economics</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other areas. Indeed, this study’s findings include civil society’s reviews on how commercial viability, workers’ rights, environmental </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protection</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sustainability interact with and within the sustainable energy sector and related green jobs. Nonetheless, this study signals that within Maltese civil society, sharing of knowledge and good practice and effort coordination lack. Different interests and sectarianism testify to inconsistently interacting and competing human local networks. This broadens the discourse on effective sustainable energy policy and creation of related green jobs, also making it more complex. Indeed, the direction of such discourse bears potential for sporadic development. Whilst challenging vertical trajectories, institutionally centered and technical transitions </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area of</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environmental sustainability, the primary data gained from this study highlight need for policy to address the identified challenges through projects, funding and incentives that foster coordination between </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different types</w:t>
      </w:r>
      <w:r w:rsidRPr="3E62AF3A" w:rsidR="05EB4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civil society organizations.</w:t>
      </w:r>
    </w:p>
    <w:p w:rsidR="3E62AF3A" w:rsidP="3E62AF3A" w:rsidRDefault="3E62AF3A" w14:paraId="3D9E4D44" w14:textId="5DA318DA">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E36D7CE" w:rsidP="3E62AF3A" w:rsidRDefault="1E36D7CE" w14:paraId="1D9527C6" w14:textId="5F140390">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62AF3A" w:rsidR="1E36D7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development of Green Economy is one of the biggest growing economic</w:t>
      </w:r>
    </w:p>
    <w:p w:rsidR="1E36D7CE" w:rsidP="3E62AF3A" w:rsidRDefault="1E36D7CE" w14:paraId="3227FFCE" w14:textId="6B7B06CA">
      <w:pPr>
        <w:pStyle w:val="ListParagraph"/>
        <w:ind w:left="720"/>
        <w:rPr>
          <w:noProof w:val="0"/>
          <w:lang w:val="en-US"/>
        </w:rPr>
      </w:pPr>
      <w:r w:rsidRPr="3E62AF3A" w:rsidR="1E36D7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Developing and movement in society. The delegation of </w:t>
      </w:r>
      <w:r w:rsidRPr="3E62AF3A" w:rsidR="42046A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Kingdom of Saudi Arabia,</w:t>
      </w:r>
      <w:r w:rsidRPr="3E62AF3A" w:rsidR="1580E5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E62AF3A" w:rsidR="42046A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have made efforts </w:t>
      </w:r>
      <w:r w:rsidRPr="3E62AF3A" w:rsidR="28B7CF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(4) </w:t>
      </w:r>
      <w:r w:rsidRPr="3E62AF3A" w:rsidR="42046A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under Saudi Vision 2030 to transition to a green economy, including renewable energy projects, environmental </w:t>
      </w:r>
      <w:r w:rsidRPr="3E62AF3A" w:rsidR="42046A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protection</w:t>
      </w:r>
      <w:r w:rsidRPr="3E62AF3A" w:rsidR="42046A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w:t>
      </w:r>
      <w:r w:rsidRPr="3E62AF3A" w:rsidR="5A32A6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nd energy efficient projects.</w:t>
      </w:r>
      <w:r w:rsidRPr="3E62AF3A" w:rsidR="5A32A6D0">
        <w:rPr>
          <w:rFonts w:ascii="Arial" w:hAnsi="Arial" w:eastAsia="Arial" w:cs="Arial"/>
          <w:b w:val="0"/>
          <w:bCs w:val="0"/>
          <w:i w:val="0"/>
          <w:iCs w:val="0"/>
          <w:caps w:val="0"/>
          <w:smallCaps w:val="0"/>
          <w:noProof w:val="0"/>
          <w:color w:val="BFBFBF" w:themeColor="background1" w:themeTint="FF" w:themeShade="BF"/>
          <w:sz w:val="24"/>
          <w:szCs w:val="24"/>
          <w:lang w:val="en-US"/>
        </w:rPr>
        <w:t xml:space="preserve"> </w:t>
      </w:r>
      <w:r w:rsidRPr="3E62AF3A" w:rsidR="5A32A6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Vision 2030 is a blueprint that is diversifying the economy, empowering citizens, creating a vibrant environment for both local and international investors, and </w:t>
      </w:r>
      <w:r w:rsidRPr="3E62AF3A" w:rsidR="5A32A6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establishing</w:t>
      </w:r>
      <w:r w:rsidRPr="3E62AF3A" w:rsidR="5A32A6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Saudi Arabia as a global leader. The Vision is designed to unfold in stages, each lasting five years and building on the last.</w:t>
      </w:r>
    </w:p>
    <w:p w:rsidR="3E62AF3A" w:rsidP="3E62AF3A" w:rsidRDefault="3E62AF3A" w14:paraId="7A23D516" w14:textId="2168335E">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62AF3A" w:rsidP="3E62AF3A" w:rsidRDefault="3E62AF3A" w14:paraId="2EBD2970" w14:textId="3C9DF2A7">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16205F7" w:rsidP="3E62AF3A" w:rsidRDefault="016205F7" w14:paraId="27FF0D38" w14:textId="6129C199">
      <w:pPr>
        <w:pStyle w:val="Normal"/>
        <w:ind w:left="7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E62AF3A" w:rsidR="016205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REFERENCE:</w:t>
      </w:r>
    </w:p>
    <w:p w:rsidR="016205F7" w:rsidP="3E62AF3A" w:rsidRDefault="016205F7" w14:paraId="7F4BF564" w14:textId="6F4FEF45">
      <w:pPr>
        <w:pStyle w:val="ListParagraph"/>
        <w:numPr>
          <w:ilvl w:val="0"/>
          <w:numId w:val="2"/>
        </w:num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E62AF3A" w:rsidR="016205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International Labour Organization:  </w:t>
      </w:r>
      <w:hyperlink w:anchor=":~:text=Green%20jobs%20are%20decent%20jobs,energy%20and%20raw%20materials%20efficiency" r:id="R03bc3b224ce34e03">
        <w:r w:rsidRPr="3E62AF3A" w:rsidR="016205F7">
          <w:rPr>
            <w:rStyle w:val="Hyperlink"/>
            <w:rFonts w:ascii="Times New Roman" w:hAnsi="Times New Roman" w:eastAsia="Times New Roman" w:cs="Times New Roman"/>
            <w:b w:val="1"/>
            <w:bCs w:val="1"/>
            <w:i w:val="0"/>
            <w:iCs w:val="0"/>
            <w:caps w:val="0"/>
            <w:smallCaps w:val="0"/>
            <w:noProof w:val="0"/>
            <w:sz w:val="24"/>
            <w:szCs w:val="24"/>
            <w:lang w:val="en-US"/>
          </w:rPr>
          <w:t>https://www.ilo.org/resource/article/what-green-job#:~:text=Green%20jobs%20are%20decent%20jobs,energy%20and%20raw%20materials%20efficiency</w:t>
        </w:r>
      </w:hyperlink>
    </w:p>
    <w:p w:rsidR="3E62AF3A" w:rsidP="3E62AF3A" w:rsidRDefault="3E62AF3A" w14:paraId="7DA3F028" w14:textId="6C9C297A">
      <w:pPr>
        <w:pStyle w:val="ListParagraph"/>
        <w:ind w:left="10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16205F7" w:rsidP="3E62AF3A" w:rsidRDefault="016205F7" w14:paraId="03A1C0D8" w14:textId="46486023">
      <w:pPr>
        <w:pStyle w:val="ListParagraph"/>
        <w:numPr>
          <w:ilvl w:val="0"/>
          <w:numId w:val="2"/>
        </w:num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E62AF3A" w:rsidR="016205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E62AF3A" w:rsidR="016205F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Saudipedia</w:t>
      </w:r>
      <w:r w:rsidRPr="3E62AF3A" w:rsidR="0BD75E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BD75E6F" w:rsidP="3E62AF3A" w:rsidRDefault="0BD75E6F" w14:paraId="1095648B" w14:textId="7F2E02D8">
      <w:pPr>
        <w:pStyle w:val="ListParagraph"/>
        <w:ind w:left="10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hyperlink w:anchor=":~:text=The%20Green%20Economy%20in%20the,resource%20depletion%2C%20and%20environmental%20degradation" r:id="R7592282716c24d0e">
        <w:r w:rsidRPr="3E62AF3A" w:rsidR="0BD75E6F">
          <w:rPr>
            <w:rStyle w:val="Hyperlink"/>
            <w:rFonts w:ascii="Times New Roman" w:hAnsi="Times New Roman" w:eastAsia="Times New Roman" w:cs="Times New Roman"/>
            <w:b w:val="1"/>
            <w:bCs w:val="1"/>
            <w:i w:val="0"/>
            <w:iCs w:val="0"/>
            <w:caps w:val="0"/>
            <w:smallCaps w:val="0"/>
            <w:noProof w:val="0"/>
            <w:sz w:val="24"/>
            <w:szCs w:val="24"/>
            <w:lang w:val="en-US"/>
          </w:rPr>
          <w:t>https://saudipedia.com/en/article/2798/economy-and-business/energy-and-natural-resources/green-economy-in-saudi-arabia#:~:text=The%20Green%20Economy%20in%20the,resource%20depletion%2C%20and%20environmental%20degradation</w:t>
        </w:r>
      </w:hyperlink>
      <w:r w:rsidRPr="3E62AF3A" w:rsidR="0BD75E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3E62AF3A" w:rsidP="3E62AF3A" w:rsidRDefault="3E62AF3A" w14:paraId="03AE06CD" w14:textId="1086208D">
      <w:pPr>
        <w:pStyle w:val="ListParagraph"/>
        <w:ind w:left="10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BD75E6F" w:rsidP="3E62AF3A" w:rsidRDefault="0BD75E6F" w14:paraId="177DFCD4" w14:textId="38906165">
      <w:pPr>
        <w:pStyle w:val="ListParagraph"/>
        <w:numPr>
          <w:ilvl w:val="0"/>
          <w:numId w:val="2"/>
        </w:num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E62AF3A" w:rsidR="0BD75E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Sage </w:t>
      </w:r>
      <w:r w:rsidRPr="3E62AF3A" w:rsidR="0BD75E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Journals:</w:t>
      </w:r>
    </w:p>
    <w:p w:rsidR="33BBDBF0" w:rsidP="3E62AF3A" w:rsidRDefault="33BBDBF0" w14:paraId="02AE4CD5" w14:textId="3DBD0AE9">
      <w:pPr>
        <w:pStyle w:val="ListParagraph"/>
        <w:ind w:left="10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hyperlink r:id="R88d29c6ade3142ad">
        <w:r w:rsidRPr="3E62AF3A" w:rsidR="33BBDBF0">
          <w:rPr>
            <w:rStyle w:val="Hyperlink"/>
            <w:rFonts w:ascii="Times New Roman" w:hAnsi="Times New Roman" w:eastAsia="Times New Roman" w:cs="Times New Roman"/>
            <w:b w:val="1"/>
            <w:bCs w:val="1"/>
            <w:i w:val="0"/>
            <w:iCs w:val="0"/>
            <w:caps w:val="0"/>
            <w:smallCaps w:val="0"/>
            <w:noProof w:val="0"/>
            <w:sz w:val="24"/>
            <w:szCs w:val="24"/>
            <w:lang w:val="en-US"/>
          </w:rPr>
          <w:t>https://journals.sagepub.com/doi/10.1177/0958305X18813685?icid=int.sj-full-text.similar-articles.5</w:t>
        </w:r>
      </w:hyperlink>
    </w:p>
    <w:p w:rsidR="3E62AF3A" w:rsidP="3E62AF3A" w:rsidRDefault="3E62AF3A" w14:paraId="1E39A5D3" w14:textId="4D367073">
      <w:pPr>
        <w:pStyle w:val="ListParagraph"/>
        <w:ind w:left="10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3BBDBF0" w:rsidP="3E62AF3A" w:rsidRDefault="33BBDBF0" w14:paraId="5609849C" w14:textId="647DD1B9">
      <w:pPr>
        <w:pStyle w:val="ListParagraph"/>
        <w:numPr>
          <w:ilvl w:val="0"/>
          <w:numId w:val="2"/>
        </w:num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E62AF3A" w:rsidR="33BBDB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Vision 2030:</w:t>
      </w:r>
    </w:p>
    <w:p w:rsidR="33BBDBF0" w:rsidP="3E62AF3A" w:rsidRDefault="33BBDBF0" w14:paraId="38276A3C" w14:textId="6EFB5310">
      <w:pPr>
        <w:pStyle w:val="ListParagraph"/>
        <w:ind w:left="10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hyperlink r:id="R672ae79590a740e4">
        <w:r w:rsidRPr="3E62AF3A" w:rsidR="33BBDBF0">
          <w:rPr>
            <w:rStyle w:val="Hyperlink"/>
            <w:rFonts w:ascii="Times New Roman" w:hAnsi="Times New Roman" w:eastAsia="Times New Roman" w:cs="Times New Roman"/>
            <w:b w:val="1"/>
            <w:bCs w:val="1"/>
            <w:i w:val="0"/>
            <w:iCs w:val="0"/>
            <w:caps w:val="0"/>
            <w:smallCaps w:val="0"/>
            <w:noProof w:val="0"/>
            <w:sz w:val="24"/>
            <w:szCs w:val="24"/>
            <w:lang w:val="en-US"/>
          </w:rPr>
          <w:t>https://www.vision2030.gov.sa/en/overview</w:t>
        </w:r>
      </w:hyperlink>
    </w:p>
    <w:p w:rsidR="3E62AF3A" w:rsidP="3E62AF3A" w:rsidRDefault="3E62AF3A" w14:paraId="56D600FF" w14:textId="795A41B0">
      <w:pPr>
        <w:pStyle w:val="ListParagraph"/>
        <w:ind w:left="10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237c0d48"/>
    <w:multiLevelType xmlns:w="http://schemas.openxmlformats.org/wordprocessingml/2006/main" w:val="hybridMultilevel"/>
    <w:lvl xmlns:w="http://schemas.openxmlformats.org/wordprocessingml/2006/main" w:ilvl="0">
      <w:start w:val="1"/>
      <w:numFmt w:val="decimal"/>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1">
    <w:nsid w:val="2c96b5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B33D1E"/>
    <w:rsid w:val="00C1DB00"/>
    <w:rsid w:val="00E8B95A"/>
    <w:rsid w:val="016205F7"/>
    <w:rsid w:val="01979CB7"/>
    <w:rsid w:val="01AB9368"/>
    <w:rsid w:val="0237ABB0"/>
    <w:rsid w:val="034C0A65"/>
    <w:rsid w:val="05EB4D8B"/>
    <w:rsid w:val="06A6ADC7"/>
    <w:rsid w:val="09E8E0C5"/>
    <w:rsid w:val="0ABE395A"/>
    <w:rsid w:val="0BD75E6F"/>
    <w:rsid w:val="0D5D17BD"/>
    <w:rsid w:val="0EF0914F"/>
    <w:rsid w:val="0FE62E31"/>
    <w:rsid w:val="12967EA0"/>
    <w:rsid w:val="13C7294F"/>
    <w:rsid w:val="154C31B3"/>
    <w:rsid w:val="1580E542"/>
    <w:rsid w:val="165ECEBF"/>
    <w:rsid w:val="169A3EAC"/>
    <w:rsid w:val="196A787C"/>
    <w:rsid w:val="19D59B6A"/>
    <w:rsid w:val="1B1DEBE0"/>
    <w:rsid w:val="1DA2B169"/>
    <w:rsid w:val="1E36D7CE"/>
    <w:rsid w:val="206DC126"/>
    <w:rsid w:val="22CB33DF"/>
    <w:rsid w:val="24926B73"/>
    <w:rsid w:val="25BF5744"/>
    <w:rsid w:val="26CAA8C8"/>
    <w:rsid w:val="26D1793B"/>
    <w:rsid w:val="28B7CFA2"/>
    <w:rsid w:val="28FF8501"/>
    <w:rsid w:val="2A2A8B44"/>
    <w:rsid w:val="2A673F30"/>
    <w:rsid w:val="2C090D15"/>
    <w:rsid w:val="2CB33D1E"/>
    <w:rsid w:val="315614AC"/>
    <w:rsid w:val="31C4810F"/>
    <w:rsid w:val="33BBDBF0"/>
    <w:rsid w:val="379557EE"/>
    <w:rsid w:val="37A88D90"/>
    <w:rsid w:val="37D35EBC"/>
    <w:rsid w:val="3A26BCF0"/>
    <w:rsid w:val="3A5F3383"/>
    <w:rsid w:val="3C92890D"/>
    <w:rsid w:val="3DECB39B"/>
    <w:rsid w:val="3E486DBE"/>
    <w:rsid w:val="3E62AF3A"/>
    <w:rsid w:val="3EE7B229"/>
    <w:rsid w:val="42046AF9"/>
    <w:rsid w:val="424B2249"/>
    <w:rsid w:val="4282BB47"/>
    <w:rsid w:val="4313FED4"/>
    <w:rsid w:val="45416689"/>
    <w:rsid w:val="46BA7C4B"/>
    <w:rsid w:val="479B2121"/>
    <w:rsid w:val="47FD3267"/>
    <w:rsid w:val="4C3B4915"/>
    <w:rsid w:val="4CA90FBA"/>
    <w:rsid w:val="508D56CB"/>
    <w:rsid w:val="5258953C"/>
    <w:rsid w:val="5450E81B"/>
    <w:rsid w:val="5A2C21B0"/>
    <w:rsid w:val="5A32A6D0"/>
    <w:rsid w:val="5B133161"/>
    <w:rsid w:val="5C3B10E0"/>
    <w:rsid w:val="5C3CB6B0"/>
    <w:rsid w:val="5EF0E5FF"/>
    <w:rsid w:val="5EF409C6"/>
    <w:rsid w:val="5F0A3597"/>
    <w:rsid w:val="5FA16687"/>
    <w:rsid w:val="61E5BAA8"/>
    <w:rsid w:val="6231B980"/>
    <w:rsid w:val="672AA611"/>
    <w:rsid w:val="687F8F9A"/>
    <w:rsid w:val="687FEE2F"/>
    <w:rsid w:val="6A0577B3"/>
    <w:rsid w:val="6D1CFDB0"/>
    <w:rsid w:val="6EBF4A8F"/>
    <w:rsid w:val="72B0ECFF"/>
    <w:rsid w:val="75F50409"/>
    <w:rsid w:val="7656644C"/>
    <w:rsid w:val="76AC39CC"/>
    <w:rsid w:val="77147507"/>
    <w:rsid w:val="7766DD8A"/>
    <w:rsid w:val="79644D5F"/>
    <w:rsid w:val="7A9901D8"/>
    <w:rsid w:val="7ED84CBD"/>
    <w:rsid w:val="7F03C7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3D1E"/>
  <w15:chartTrackingRefBased/>
  <w15:docId w15:val="{71228A85-7F3B-49E5-AF7B-5C8B5ED46D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3E62AF3A"/>
    <w:pPr>
      <w:spacing/>
      <w:ind w:left="720"/>
      <w:contextualSpacing/>
    </w:pPr>
  </w:style>
  <w:style w:type="character" w:styleId="Hyperlink">
    <w:uiPriority w:val="99"/>
    <w:name w:val="Hyperlink"/>
    <w:basedOn w:val="DefaultParagraphFont"/>
    <w:unhideWhenUsed/>
    <w:rsid w:val="3E62AF3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lo.org/resource/article/what-green-job" TargetMode="External" Id="R03bc3b224ce34e03" /><Relationship Type="http://schemas.openxmlformats.org/officeDocument/2006/relationships/hyperlink" Target="https://saudipedia.com/en/article/2798/economy-and-business/energy-and-natural-resources/green-economy-in-saudi-arabia" TargetMode="External" Id="R7592282716c24d0e" /><Relationship Type="http://schemas.openxmlformats.org/officeDocument/2006/relationships/hyperlink" Target="https://journals.sagepub.com/doi/10.1177/0958305X18813685?icid=int.sj-full-text.similar-articles.5" TargetMode="External" Id="R88d29c6ade3142ad" /><Relationship Type="http://schemas.openxmlformats.org/officeDocument/2006/relationships/hyperlink" Target="https://www.vision2030.gov.sa/en/overview" TargetMode="External" Id="R672ae79590a740e4" /><Relationship Type="http://schemas.openxmlformats.org/officeDocument/2006/relationships/numbering" Target="numbering.xml" Id="R4de2fed1d20d4d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2024-12-19T18:50:17.7725203Z</dcterms:created>
  <dcterms:modified xsi:type="dcterms:W3CDTF">2024-12-19T20:33:37.9764743Z</dcterms:modified>
  <dc:creator>GÖKHAN KÜÇÜKDEMİRKOL</dc:creator>
  <lastModifiedBy>GÖKHAN KÜÇÜKDEMİRKOL</lastModifiedBy>
</coreProperties>
</file>