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15AD" w14:textId="77777777" w:rsidR="009B2E97" w:rsidRPr="00755DE7" w:rsidRDefault="009B2E97" w:rsidP="009B2E9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: </w:t>
      </w:r>
      <w:r w:rsidRPr="00755DE7">
        <w:rPr>
          <w:rFonts w:ascii="Times New Roman" w:hAnsi="Times New Roman" w:cs="Times New Roman"/>
          <w:color w:val="191919"/>
          <w:sz w:val="24"/>
          <w:szCs w:val="24"/>
        </w:rPr>
        <w:t xml:space="preserve">United Nations Framework </w:t>
      </w:r>
      <w:proofErr w:type="spellStart"/>
      <w:r w:rsidRPr="00755DE7">
        <w:rPr>
          <w:rFonts w:ascii="Times New Roman" w:hAnsi="Times New Roman" w:cs="Times New Roman"/>
          <w:color w:val="191919"/>
          <w:sz w:val="24"/>
          <w:szCs w:val="24"/>
        </w:rPr>
        <w:t>Convention</w:t>
      </w:r>
      <w:proofErr w:type="spellEnd"/>
      <w:r w:rsidRPr="00755DE7">
        <w:rPr>
          <w:rFonts w:ascii="Times New Roman" w:hAnsi="Times New Roman" w:cs="Times New Roman"/>
          <w:color w:val="191919"/>
          <w:sz w:val="24"/>
          <w:szCs w:val="24"/>
        </w:rPr>
        <w:t xml:space="preserve"> On </w:t>
      </w:r>
      <w:proofErr w:type="spellStart"/>
      <w:r w:rsidRPr="00755DE7">
        <w:rPr>
          <w:rFonts w:ascii="Times New Roman" w:hAnsi="Times New Roman" w:cs="Times New Roman"/>
          <w:color w:val="191919"/>
          <w:sz w:val="24"/>
          <w:szCs w:val="24"/>
        </w:rPr>
        <w:t>Climate</w:t>
      </w:r>
      <w:proofErr w:type="spellEnd"/>
      <w:r w:rsidRPr="00755DE7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color w:val="191919"/>
          <w:sz w:val="24"/>
          <w:szCs w:val="24"/>
        </w:rPr>
        <w:t>Change</w:t>
      </w:r>
      <w:proofErr w:type="spellEnd"/>
      <w:r w:rsidRPr="00755DE7">
        <w:rPr>
          <w:rFonts w:ascii="Times New Roman" w:hAnsi="Times New Roman" w:cs="Times New Roman"/>
          <w:color w:val="191919"/>
          <w:sz w:val="24"/>
          <w:szCs w:val="24"/>
        </w:rPr>
        <w:t xml:space="preserve"> (U</w:t>
      </w:r>
      <w:r w:rsidRPr="00755DE7">
        <w:rPr>
          <w:rFonts w:ascii="Times New Roman" w:hAnsi="Times New Roman" w:cs="Times New Roman"/>
          <w:sz w:val="24"/>
          <w:szCs w:val="24"/>
        </w:rPr>
        <w:t>NFCCC)</w:t>
      </w:r>
    </w:p>
    <w:p w14:paraId="6E118774" w14:textId="51AF61DB" w:rsidR="009B2E97" w:rsidRPr="00755DE7" w:rsidRDefault="009B2E97" w:rsidP="009B2E9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r w:rsidR="000F4206" w:rsidRPr="00755DE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0F4206" w:rsidRPr="00755DE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7F94D" w14:textId="00CF7E57" w:rsidR="0093001F" w:rsidRPr="00755DE7" w:rsidRDefault="0093001F">
      <w:pPr>
        <w:rPr>
          <w:rFonts w:ascii="Times New Roman" w:hAnsi="Times New Roman" w:cs="Times New Roman"/>
          <w:sz w:val="24"/>
          <w:szCs w:val="24"/>
        </w:rPr>
      </w:pPr>
    </w:p>
    <w:p w14:paraId="2DC9A957" w14:textId="0DEC5306" w:rsidR="009B2E97" w:rsidRPr="00755DE7" w:rsidRDefault="009B2E97" w:rsidP="009B2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E7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vibrant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stunning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landscapes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Sahara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coastline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wonders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Algiers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Oran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seamlessly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modernity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charm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reflecting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Berber,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French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player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Africa’s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>.</w:t>
      </w:r>
    </w:p>
    <w:p w14:paraId="69746DB7" w14:textId="07ABCF49" w:rsidR="00D2185B" w:rsidRPr="00755DE7" w:rsidRDefault="00D2185B" w:rsidP="009B2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Historically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depended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limiting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Arabia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adopting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demonstrating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reliant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has set a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generating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27% of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renewables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2030,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on solar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United Nations has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2030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Paris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reductions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Algeria’s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>.</w:t>
      </w:r>
    </w:p>
    <w:p w14:paraId="4F19C9D0" w14:textId="1FC6EED4" w:rsidR="000F4206" w:rsidRDefault="00D2185B" w:rsidP="000F42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has set an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ambitious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27% of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2030,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on solar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government’s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large-scale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attracting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decentralizing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reliance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diversify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seeks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transfer,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capacity-building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United Nations can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DE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55DE7">
        <w:rPr>
          <w:rFonts w:ascii="Times New Roman" w:hAnsi="Times New Roman" w:cs="Times New Roman"/>
          <w:sz w:val="24"/>
          <w:szCs w:val="24"/>
        </w:rPr>
        <w:t>.</w:t>
      </w:r>
    </w:p>
    <w:p w14:paraId="2DC4FF0D" w14:textId="77777777" w:rsidR="000F4206" w:rsidRDefault="000F4206" w:rsidP="000F42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736EFD" w14:textId="71253542" w:rsidR="000F4206" w:rsidRDefault="000F4206" w:rsidP="000F4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1B1D7E41" w14:textId="6028B809" w:rsidR="000F4206" w:rsidRPr="00463CB8" w:rsidRDefault="000F4206" w:rsidP="00463CB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Algerian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Ministry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(2015).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National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Efficiency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Programme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(2015-2030).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5" w:tgtFrame="_new" w:history="1">
        <w:r w:rsidRPr="0046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https://www.energy.gov.dz/</w:t>
        </w:r>
      </w:hyperlink>
    </w:p>
    <w:p w14:paraId="42523DA4" w14:textId="77777777" w:rsidR="000F4206" w:rsidRPr="000F4206" w:rsidRDefault="000F4206" w:rsidP="000F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7907E2" w14:textId="7C14C7E7" w:rsidR="000F4206" w:rsidRPr="00463CB8" w:rsidRDefault="000F4206" w:rsidP="00463CB8">
      <w:pPr>
        <w:pStyle w:val="ListeParagraf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International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Agency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(IRENA).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(2022).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Capacity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Statistics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6" w:tgtFrame="_new" w:history="1">
        <w:r w:rsidRPr="0046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https://www.irena.org/</w:t>
        </w:r>
      </w:hyperlink>
    </w:p>
    <w:p w14:paraId="47AFCC23" w14:textId="188A049B" w:rsidR="000F4206" w:rsidRPr="00463CB8" w:rsidRDefault="000F4206" w:rsidP="00463CB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United Nations Development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Programme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(UNDP).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(2018).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Renewable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Energy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Sustainable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Development in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Africa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7" w:tgtFrame="_new" w:history="1">
        <w:r w:rsidRPr="0046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https://www.undp.org/</w:t>
        </w:r>
      </w:hyperlink>
    </w:p>
    <w:p w14:paraId="100A33E6" w14:textId="6982D7A2" w:rsidR="000F4206" w:rsidRPr="00463CB8" w:rsidRDefault="000F4206" w:rsidP="00463CB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lastRenderedPageBreak/>
        <w:t xml:space="preserve">United Nations Framework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Convention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Climate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Change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(UNFCCC).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(2015).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Paris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Agreement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 New Global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Climate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Change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Agreement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8" w:tgtFrame="_new" w:history="1">
        <w:r w:rsidRPr="0046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https://unfccc.int/</w:t>
        </w:r>
      </w:hyperlink>
    </w:p>
    <w:p w14:paraId="67753463" w14:textId="3AE1B5AB" w:rsidR="000F4206" w:rsidRPr="00463CB8" w:rsidRDefault="000F4206" w:rsidP="00463CB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United Nations.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(2015).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Transforming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Our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World: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2030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Agenda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Sustainable</w:t>
      </w:r>
      <w:proofErr w:type="spellEnd"/>
      <w:r w:rsidRPr="00463CB8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Development.</w:t>
      </w:r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Retrieved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463C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9" w:tgtFrame="_new" w:history="1">
        <w:r w:rsidRPr="0046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https://sdgs.un.org/goals</w:t>
        </w:r>
      </w:hyperlink>
    </w:p>
    <w:sectPr w:rsidR="000F4206" w:rsidRPr="0046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509B"/>
    <w:multiLevelType w:val="hybridMultilevel"/>
    <w:tmpl w:val="37483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549AD"/>
    <w:multiLevelType w:val="hybridMultilevel"/>
    <w:tmpl w:val="201C30B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50705"/>
    <w:multiLevelType w:val="hybridMultilevel"/>
    <w:tmpl w:val="1C3C6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1F"/>
    <w:rsid w:val="000F4206"/>
    <w:rsid w:val="003971A3"/>
    <w:rsid w:val="00463CB8"/>
    <w:rsid w:val="00755DE7"/>
    <w:rsid w:val="0093001F"/>
    <w:rsid w:val="009B2E97"/>
    <w:rsid w:val="00D2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3E43"/>
  <w15:chartTrackingRefBased/>
  <w15:docId w15:val="{15925CF3-6E73-4256-AA5E-74798B65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9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F4206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F420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6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fccc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d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ena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nergy.gov.d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dgs.un.org/goal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Metin</dc:creator>
  <cp:keywords/>
  <dc:description/>
  <cp:lastModifiedBy>Tuğçe Metin</cp:lastModifiedBy>
  <cp:revision>11</cp:revision>
  <dcterms:created xsi:type="dcterms:W3CDTF">2024-12-13T10:08:00Z</dcterms:created>
  <dcterms:modified xsi:type="dcterms:W3CDTF">2024-12-18T11:33:00Z</dcterms:modified>
</cp:coreProperties>
</file>