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5F" w:rsidRDefault="00F44D5F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anchor distT="114300" distB="114300" distL="114300" distR="114300" simplePos="0" relativeHeight="251658240" behindDoc="0" locked="0" layoutInCell="1" hidden="0" allowOverlap="1" wp14:anchorId="49A5A74E" wp14:editId="73104655">
            <wp:simplePos x="0" y="0"/>
            <wp:positionH relativeFrom="page">
              <wp:posOffset>4488815</wp:posOffset>
            </wp:positionH>
            <wp:positionV relativeFrom="page">
              <wp:posOffset>1165225</wp:posOffset>
            </wp:positionV>
            <wp:extent cx="2505710" cy="1339850"/>
            <wp:effectExtent l="0" t="0" r="889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33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4D5F" w:rsidRDefault="00F44D5F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266" w:rsidRDefault="00AA2D57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SPECPOL</w:t>
      </w:r>
    </w:p>
    <w:p w:rsidR="00C47266" w:rsidRDefault="00AA2D57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</w:p>
    <w:p w:rsidR="00C47266" w:rsidRDefault="00AA2D57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Global Framework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</w:p>
    <w:p w:rsidR="00C47266" w:rsidRDefault="00C47266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266" w:rsidRDefault="00AA2D57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Soviet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parliamentary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EU, NATO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Development (OECD),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pursuing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Soviet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Strengthening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>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Latvia's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D5F" w:rsidRDefault="00AA2D57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oppression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humiliation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deprivation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do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pedestal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4D5F" w:rsidRDefault="00F44D5F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D5F" w:rsidRDefault="00F44D5F" w:rsidP="00F44D5F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266" w:rsidRDefault="00AA2D57" w:rsidP="00F44D5F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Employment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exploitative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266" w:rsidRDefault="00AA2D57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cognizance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Global Framework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People.</w:t>
      </w:r>
    </w:p>
    <w:p w:rsidR="00C47266" w:rsidRDefault="00AA2D57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UNHCR,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mobilize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statelessness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safeguard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arbitrary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decision-making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inconsistent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discriminatory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7266" w:rsidRDefault="00C47266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266" w:rsidRDefault="00C47266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266" w:rsidRDefault="00C47266"/>
    <w:sectPr w:rsidR="00C4726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47266"/>
    <w:rsid w:val="00AA2D57"/>
    <w:rsid w:val="00C47266"/>
    <w:rsid w:val="00F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kaya</dc:creator>
  <cp:lastModifiedBy>rkaya0911@gmail.com</cp:lastModifiedBy>
  <cp:revision>2</cp:revision>
  <dcterms:created xsi:type="dcterms:W3CDTF">2025-01-23T18:32:00Z</dcterms:created>
  <dcterms:modified xsi:type="dcterms:W3CDTF">2025-01-23T18:32:00Z</dcterms:modified>
</cp:coreProperties>
</file>