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08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-339525</wp:posOffset>
            </wp:positionH>
            <wp:positionV relativeFrom="paragraph">
              <wp:posOffset>368</wp:posOffset>
            </wp:positionV>
            <wp:extent cx="1117808" cy="911860"/>
            <wp:effectExtent b="0" l="0" r="0" t="0"/>
            <wp:wrapSquare wrapText="bothSides" distB="0" distT="0" distL="114300" distR="114300"/>
            <wp:docPr descr="İtalya Bayrağı Fiyatı Özellikleri ve Ölçüleri Bayraksepeti" id="1" name="image1.png"/>
            <a:graphic>
              <a:graphicData uri="http://schemas.openxmlformats.org/drawingml/2006/picture">
                <pic:pic>
                  <pic:nvPicPr>
                    <pic:cNvPr descr="İtalya Bayrağı Fiyatı Özellikleri ve Ölçüleri Bayraksepeti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808" cy="911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4583151</wp:posOffset>
            </wp:positionH>
            <wp:positionV relativeFrom="paragraph">
              <wp:posOffset>279</wp:posOffset>
            </wp:positionV>
            <wp:extent cx="1238250" cy="861060"/>
            <wp:effectExtent b="0" l="0" r="0" t="0"/>
            <wp:wrapSquare wrapText="bothSides" distB="0" distT="0" distL="114300" distR="114300"/>
            <wp:docPr descr="Birleşmiş Milletler Teşkilatı ve Türkiye / T.C. Dışişleri Bakanlığı" id="2" name="image2.png"/>
            <a:graphic>
              <a:graphicData uri="http://schemas.openxmlformats.org/drawingml/2006/picture">
                <pic:pic>
                  <pic:nvPicPr>
                    <pic:cNvPr descr="Birleşmiş Milletler Teşkilatı ve Türkiye / T.C. Dışişleri Bakanlığı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61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EXPANDING GLOBAL EDUCATIONAL OPPORTUNTUNITIES AND REDUCING INEQUALITIES IN ACCESS TO EDUCATION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Country:  Italy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Committee: UNESCO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  <w:t xml:space="preserve">Delegate: Umut Uydaş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Problems: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 Dropout Rates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Italy has one of the highest early school-leaver rates in the European Union. The COVID-19 pandemic exacerbated this issue, particularly in the southern regions, where school closures led to a significant increase in dropout rates.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North-South Divide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There is a stark contrast between the educational outcomes in the wealthier northern regions and the poorer southern regions. This divide is reflected in the levels of childhood poverty and educational attainment.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Educational Inequality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Economic instability and financial hardship prevent many young people from accessing educational opportunities. This is particularly true in the southern regions, where poverty rates are higher.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Impact of the Pandemic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The pandemic has had a lasting impact on the education system, with many students struggling to adapt to online learning. The prolonged school closures have led to a significant increase in absenteeism and dropout rates.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Solutions: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Changing eduation ministers in Italy could solve school dropout problem.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Donating stationery items  to poor people in the South of Italy.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Italy there is a poverty. Especially in the southern part of the country. Government should help and organize aid programmes for these groups.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pandemic effect in Italy has spread a threat to students in many schools. </w:t>
      </w:r>
    </w:p>
    <w:p w:rsidR="00000000" w:rsidDel="00000000" w:rsidP="00000000" w:rsidRDefault="00000000" w:rsidRPr="00000000" w14:paraId="00000015">
      <w:pPr>
        <w:ind w:left="36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To catch up, we need using technology effectively, school – family cooperation and development of social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